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724C3" w14:textId="77777777" w:rsidR="006B2C08" w:rsidRPr="006B2C08" w:rsidRDefault="006B2C08" w:rsidP="006B2C08">
      <w:pPr>
        <w:spacing w:line="594" w:lineRule="exact"/>
        <w:jc w:val="center"/>
        <w:rPr>
          <w:rFonts w:ascii="宋体" w:hAnsi="宋体" w:cs="CESI黑体-GB2312"/>
          <w:sz w:val="44"/>
          <w:szCs w:val="32"/>
        </w:rPr>
      </w:pPr>
    </w:p>
    <w:p w14:paraId="7F3B0125" w14:textId="77777777" w:rsidR="006B2C08" w:rsidRPr="006B2C08" w:rsidRDefault="006B2C08" w:rsidP="006B2C08">
      <w:pPr>
        <w:pStyle w:val="4"/>
        <w:spacing w:before="0" w:line="594" w:lineRule="exact"/>
        <w:rPr>
          <w:rFonts w:ascii="宋体" w:eastAsia="宋体" w:hAnsi="宋体" w:hint="eastAsia"/>
          <w:sz w:val="44"/>
        </w:rPr>
      </w:pPr>
    </w:p>
    <w:p w14:paraId="08FA1AB2" w14:textId="77777777" w:rsidR="006B2C08" w:rsidRPr="006B2C08" w:rsidRDefault="006B2C08" w:rsidP="006B2C08">
      <w:pPr>
        <w:spacing w:line="594" w:lineRule="exact"/>
        <w:jc w:val="center"/>
        <w:rPr>
          <w:rFonts w:ascii="宋体" w:hAnsi="宋体" w:cs="CESI黑体-GB2312"/>
          <w:sz w:val="44"/>
          <w:szCs w:val="32"/>
        </w:rPr>
      </w:pPr>
      <w:r w:rsidRPr="006B2C08">
        <w:rPr>
          <w:rFonts w:ascii="宋体" w:hAnsi="宋体" w:cs="CESI黑体-GB2312" w:hint="eastAsia"/>
          <w:sz w:val="44"/>
          <w:szCs w:val="32"/>
        </w:rPr>
        <w:t>彭水苗族土家族自治县城乡建设管理条例</w:t>
      </w:r>
    </w:p>
    <w:p w14:paraId="65BD11E0" w14:textId="77777777" w:rsidR="006B2C08" w:rsidRPr="006B2C08" w:rsidRDefault="006B2C08" w:rsidP="006B2C08">
      <w:pPr>
        <w:pStyle w:val="4"/>
        <w:spacing w:before="0" w:line="594" w:lineRule="exact"/>
        <w:ind w:leftChars="100" w:left="320" w:rightChars="100" w:right="320"/>
        <w:rPr>
          <w:rFonts w:eastAsia="楷体_GB2312" w:hint="eastAsia"/>
          <w:sz w:val="32"/>
        </w:rPr>
      </w:pPr>
    </w:p>
    <w:p w14:paraId="7DDEC792" w14:textId="77777777" w:rsidR="006B2C08" w:rsidRPr="006B2C08" w:rsidRDefault="006B2C08" w:rsidP="006B2C08">
      <w:pPr>
        <w:spacing w:line="594" w:lineRule="exact"/>
        <w:ind w:leftChars="100" w:left="320" w:rightChars="100" w:right="320"/>
        <w:jc w:val="center"/>
        <w:rPr>
          <w:rFonts w:eastAsia="楷体_GB2312" w:cs="CESI楷体-GB2312" w:hint="eastAsia"/>
          <w:szCs w:val="32"/>
        </w:rPr>
      </w:pPr>
      <w:r w:rsidRPr="006B2C08">
        <w:rPr>
          <w:rFonts w:eastAsia="楷体_GB2312" w:cs="CESI楷体-GB2312" w:hint="eastAsia"/>
          <w:szCs w:val="32"/>
        </w:rPr>
        <w:t>（</w:t>
      </w:r>
      <w:r w:rsidRPr="006B2C08">
        <w:rPr>
          <w:rFonts w:eastAsia="楷体_GB2312" w:hint="eastAsia"/>
          <w:szCs w:val="32"/>
        </w:rPr>
        <w:t>2011</w:t>
      </w:r>
      <w:r w:rsidRPr="006B2C08">
        <w:rPr>
          <w:rFonts w:eastAsia="楷体_GB2312" w:cs="CESI楷体-GB2312" w:hint="eastAsia"/>
          <w:szCs w:val="32"/>
        </w:rPr>
        <w:t>年</w:t>
      </w:r>
      <w:r w:rsidRPr="006B2C08">
        <w:rPr>
          <w:rFonts w:eastAsia="楷体_GB2312" w:hint="eastAsia"/>
          <w:szCs w:val="32"/>
        </w:rPr>
        <w:t>5</w:t>
      </w:r>
      <w:r w:rsidRPr="006B2C08">
        <w:rPr>
          <w:rFonts w:eastAsia="楷体_GB2312" w:cs="CESI楷体-GB2312" w:hint="eastAsia"/>
          <w:szCs w:val="32"/>
        </w:rPr>
        <w:t>月</w:t>
      </w:r>
      <w:r w:rsidRPr="006B2C08">
        <w:rPr>
          <w:rFonts w:eastAsia="楷体_GB2312" w:hint="eastAsia"/>
          <w:szCs w:val="32"/>
        </w:rPr>
        <w:t>10</w:t>
      </w:r>
      <w:r w:rsidRPr="006B2C08">
        <w:rPr>
          <w:rFonts w:eastAsia="楷体_GB2312" w:cs="CESI楷体-GB2312" w:hint="eastAsia"/>
          <w:szCs w:val="32"/>
        </w:rPr>
        <w:t>日彭水苗族土家族自治县第十五届人民代表大会第八次会议通过，</w:t>
      </w:r>
      <w:r w:rsidRPr="006B2C08">
        <w:rPr>
          <w:rFonts w:eastAsia="楷体_GB2312" w:hint="eastAsia"/>
          <w:szCs w:val="32"/>
        </w:rPr>
        <w:t>2011</w:t>
      </w:r>
      <w:r w:rsidRPr="006B2C08">
        <w:rPr>
          <w:rFonts w:eastAsia="楷体_GB2312" w:cs="CESI楷体-GB2312" w:hint="eastAsia"/>
          <w:szCs w:val="32"/>
        </w:rPr>
        <w:t>年</w:t>
      </w:r>
      <w:r w:rsidRPr="006B2C08">
        <w:rPr>
          <w:rFonts w:eastAsia="楷体_GB2312" w:hint="eastAsia"/>
          <w:szCs w:val="32"/>
        </w:rPr>
        <w:t>7</w:t>
      </w:r>
      <w:r w:rsidRPr="006B2C08">
        <w:rPr>
          <w:rFonts w:eastAsia="楷体_GB2312" w:cs="CESI楷体-GB2312" w:hint="eastAsia"/>
          <w:szCs w:val="32"/>
        </w:rPr>
        <w:t>月</w:t>
      </w:r>
      <w:r w:rsidRPr="006B2C08">
        <w:rPr>
          <w:rFonts w:eastAsia="楷体_GB2312" w:hint="eastAsia"/>
          <w:szCs w:val="32"/>
        </w:rPr>
        <w:t>29</w:t>
      </w:r>
      <w:r w:rsidRPr="006B2C08">
        <w:rPr>
          <w:rFonts w:eastAsia="楷体_GB2312" w:cs="CESI楷体-GB2312" w:hint="eastAsia"/>
          <w:szCs w:val="32"/>
        </w:rPr>
        <w:t>日重庆市第三届人民代表大会常务委员会第二十五次会议批准；</w:t>
      </w:r>
      <w:r w:rsidRPr="006B2C08">
        <w:rPr>
          <w:rFonts w:eastAsia="楷体_GB2312" w:hint="eastAsia"/>
          <w:szCs w:val="32"/>
        </w:rPr>
        <w:t>2012</w:t>
      </w:r>
      <w:r w:rsidRPr="006B2C08">
        <w:rPr>
          <w:rFonts w:eastAsia="楷体_GB2312" w:cs="CESI楷体-GB2312" w:hint="eastAsia"/>
          <w:szCs w:val="32"/>
        </w:rPr>
        <w:t>年</w:t>
      </w:r>
      <w:r w:rsidRPr="006B2C08">
        <w:rPr>
          <w:rFonts w:eastAsia="楷体_GB2312" w:hint="eastAsia"/>
          <w:szCs w:val="32"/>
        </w:rPr>
        <w:t>11</w:t>
      </w:r>
      <w:r w:rsidRPr="006B2C08">
        <w:rPr>
          <w:rFonts w:eastAsia="楷体_GB2312" w:cs="CESI楷体-GB2312" w:hint="eastAsia"/>
          <w:szCs w:val="32"/>
        </w:rPr>
        <w:t>月</w:t>
      </w:r>
      <w:r w:rsidRPr="006B2C08">
        <w:rPr>
          <w:rFonts w:eastAsia="楷体_GB2312" w:hint="eastAsia"/>
          <w:szCs w:val="32"/>
        </w:rPr>
        <w:t>30</w:t>
      </w:r>
      <w:r w:rsidRPr="006B2C08">
        <w:rPr>
          <w:rFonts w:eastAsia="楷体_GB2312" w:cs="CESI楷体-GB2312" w:hint="eastAsia"/>
          <w:szCs w:val="32"/>
        </w:rPr>
        <w:t>日县第十六届人民代表大会第二次会议第一次修改，</w:t>
      </w:r>
      <w:r w:rsidRPr="006B2C08">
        <w:rPr>
          <w:rFonts w:eastAsia="楷体_GB2312" w:hint="eastAsia"/>
          <w:szCs w:val="32"/>
        </w:rPr>
        <w:t>2013</w:t>
      </w:r>
      <w:r w:rsidRPr="006B2C08">
        <w:rPr>
          <w:rFonts w:eastAsia="楷体_GB2312" w:cs="CESI楷体-GB2312" w:hint="eastAsia"/>
          <w:szCs w:val="32"/>
        </w:rPr>
        <w:t>年</w:t>
      </w:r>
      <w:r w:rsidRPr="006B2C08">
        <w:rPr>
          <w:rFonts w:eastAsia="楷体_GB2312" w:hint="eastAsia"/>
          <w:szCs w:val="32"/>
        </w:rPr>
        <w:t>5</w:t>
      </w:r>
      <w:r w:rsidRPr="006B2C08">
        <w:rPr>
          <w:rFonts w:eastAsia="楷体_GB2312" w:cs="CESI楷体-GB2312" w:hint="eastAsia"/>
          <w:szCs w:val="32"/>
        </w:rPr>
        <w:t>月</w:t>
      </w:r>
      <w:r w:rsidRPr="006B2C08">
        <w:rPr>
          <w:rFonts w:eastAsia="楷体_GB2312" w:hint="eastAsia"/>
          <w:szCs w:val="32"/>
        </w:rPr>
        <w:t>9</w:t>
      </w:r>
      <w:r w:rsidRPr="006B2C08">
        <w:rPr>
          <w:rFonts w:eastAsia="楷体_GB2312" w:cs="CESI楷体-GB2312" w:hint="eastAsia"/>
          <w:szCs w:val="32"/>
        </w:rPr>
        <w:t>日重庆市第四届人民代表大会常务委员会第三次会议批准；</w:t>
      </w:r>
      <w:r w:rsidRPr="006B2C08">
        <w:rPr>
          <w:rFonts w:eastAsia="楷体_GB2312" w:hint="eastAsia"/>
          <w:szCs w:val="32"/>
        </w:rPr>
        <w:t>2022</w:t>
      </w:r>
      <w:r w:rsidRPr="006B2C08">
        <w:rPr>
          <w:rFonts w:eastAsia="楷体_GB2312" w:cs="CESI楷体-GB2312" w:hint="eastAsia"/>
          <w:szCs w:val="32"/>
        </w:rPr>
        <w:t>年</w:t>
      </w:r>
      <w:r w:rsidRPr="006B2C08">
        <w:rPr>
          <w:rFonts w:eastAsia="楷体_GB2312" w:hint="eastAsia"/>
          <w:szCs w:val="32"/>
        </w:rPr>
        <w:t>12</w:t>
      </w:r>
      <w:r w:rsidRPr="006B2C08">
        <w:rPr>
          <w:rFonts w:eastAsia="楷体_GB2312" w:cs="CESI楷体-GB2312" w:hint="eastAsia"/>
          <w:szCs w:val="32"/>
        </w:rPr>
        <w:t>月</w:t>
      </w:r>
      <w:r w:rsidRPr="006B2C08">
        <w:rPr>
          <w:rFonts w:eastAsia="楷体_GB2312" w:hint="eastAsia"/>
          <w:szCs w:val="32"/>
        </w:rPr>
        <w:t>25</w:t>
      </w:r>
      <w:r w:rsidRPr="006B2C08">
        <w:rPr>
          <w:rFonts w:eastAsia="楷体_GB2312" w:cs="CESI楷体-GB2312" w:hint="eastAsia"/>
          <w:szCs w:val="32"/>
        </w:rPr>
        <w:t>日县第十八届人民代表大会第二次会议第二次修改，</w:t>
      </w:r>
      <w:r w:rsidRPr="006B2C08">
        <w:rPr>
          <w:rFonts w:eastAsia="楷体_GB2312" w:hint="eastAsia"/>
          <w:szCs w:val="32"/>
        </w:rPr>
        <w:t>2023</w:t>
      </w:r>
      <w:r w:rsidRPr="006B2C08">
        <w:rPr>
          <w:rFonts w:eastAsia="楷体_GB2312" w:cs="CESI楷体-GB2312" w:hint="eastAsia"/>
          <w:szCs w:val="32"/>
        </w:rPr>
        <w:t>年</w:t>
      </w:r>
      <w:r w:rsidRPr="006B2C08">
        <w:rPr>
          <w:rFonts w:eastAsia="楷体_GB2312" w:hint="eastAsia"/>
          <w:szCs w:val="32"/>
        </w:rPr>
        <w:t>3</w:t>
      </w:r>
      <w:r w:rsidRPr="006B2C08">
        <w:rPr>
          <w:rFonts w:eastAsia="楷体_GB2312" w:cs="CESI楷体-GB2312" w:hint="eastAsia"/>
          <w:szCs w:val="32"/>
        </w:rPr>
        <w:t>月</w:t>
      </w:r>
      <w:r w:rsidRPr="006B2C08">
        <w:rPr>
          <w:rFonts w:eastAsia="楷体_GB2312" w:hint="eastAsia"/>
          <w:szCs w:val="32"/>
        </w:rPr>
        <w:t>30</w:t>
      </w:r>
      <w:r w:rsidRPr="006B2C08">
        <w:rPr>
          <w:rFonts w:eastAsia="楷体_GB2312" w:cs="CESI楷体-GB2312" w:hint="eastAsia"/>
          <w:szCs w:val="32"/>
        </w:rPr>
        <w:t>日重庆市第六届人民代表大会常务委员会第一次会议批准。）</w:t>
      </w:r>
    </w:p>
    <w:p w14:paraId="669B32FC" w14:textId="77777777" w:rsidR="006B2C08" w:rsidRPr="006B2C08" w:rsidRDefault="006B2C08" w:rsidP="006B2C08">
      <w:pPr>
        <w:spacing w:line="594" w:lineRule="exact"/>
        <w:ind w:leftChars="100" w:left="320" w:rightChars="100" w:right="320"/>
        <w:jc w:val="center"/>
        <w:rPr>
          <w:rFonts w:eastAsia="楷体_GB2312" w:cs="CESI仿宋-GB2312" w:hint="eastAsia"/>
          <w:bCs/>
          <w:szCs w:val="32"/>
        </w:rPr>
      </w:pPr>
    </w:p>
    <w:p w14:paraId="6AFFCCA1" w14:textId="77777777" w:rsidR="006B2C08" w:rsidRPr="006B2C08" w:rsidRDefault="006B2C08" w:rsidP="006B2C08">
      <w:pPr>
        <w:spacing w:line="594" w:lineRule="exact"/>
        <w:jc w:val="center"/>
        <w:rPr>
          <w:rFonts w:eastAsia="楷体_GB2312" w:cs="CESI黑体-GB2312" w:hint="eastAsia"/>
          <w:bCs/>
          <w:szCs w:val="32"/>
        </w:rPr>
      </w:pPr>
      <w:r w:rsidRPr="006B2C08">
        <w:rPr>
          <w:rFonts w:eastAsia="楷体_GB2312" w:cs="CESI黑体-GB2312" w:hint="eastAsia"/>
          <w:bCs/>
          <w:szCs w:val="32"/>
        </w:rPr>
        <w:t>目</w:t>
      </w:r>
      <w:r w:rsidRPr="006B2C08">
        <w:rPr>
          <w:rFonts w:eastAsia="楷体_GB2312" w:cs="CESI黑体-GB2312" w:hint="eastAsia"/>
          <w:bCs/>
          <w:szCs w:val="32"/>
        </w:rPr>
        <w:t xml:space="preserve">   </w:t>
      </w:r>
      <w:r w:rsidRPr="006B2C08">
        <w:rPr>
          <w:rFonts w:eastAsia="楷体_GB2312" w:cs="CESI黑体-GB2312" w:hint="eastAsia"/>
          <w:bCs/>
          <w:szCs w:val="32"/>
        </w:rPr>
        <w:t>录</w:t>
      </w:r>
    </w:p>
    <w:p w14:paraId="725A2995" w14:textId="77777777" w:rsidR="006B2C08" w:rsidRPr="006B2C08" w:rsidRDefault="006B2C08" w:rsidP="006B2C08">
      <w:pPr>
        <w:spacing w:line="594" w:lineRule="exact"/>
        <w:jc w:val="center"/>
        <w:rPr>
          <w:rFonts w:eastAsia="楷体_GB2312" w:cs="CESI仿宋-GB2312" w:hint="eastAsia"/>
          <w:bCs/>
          <w:szCs w:val="32"/>
        </w:rPr>
      </w:pPr>
    </w:p>
    <w:p w14:paraId="07FA24F4" w14:textId="77777777" w:rsidR="006B2C08" w:rsidRPr="006B2C08" w:rsidRDefault="006B2C08" w:rsidP="006B2C08">
      <w:pPr>
        <w:spacing w:line="594" w:lineRule="exact"/>
        <w:ind w:firstLineChars="200" w:firstLine="640"/>
        <w:rPr>
          <w:rFonts w:eastAsia="楷体_GB2312" w:cs="CESI仿宋-GB2312" w:hint="eastAsia"/>
          <w:szCs w:val="32"/>
        </w:rPr>
      </w:pPr>
      <w:r w:rsidRPr="006B2C08">
        <w:rPr>
          <w:rFonts w:eastAsia="楷体_GB2312" w:cs="CESI仿宋-GB2312" w:hint="eastAsia"/>
          <w:szCs w:val="32"/>
        </w:rPr>
        <w:t>第一章</w:t>
      </w:r>
      <w:r w:rsidRPr="006B2C08">
        <w:rPr>
          <w:rFonts w:eastAsia="楷体_GB2312" w:cs="CESI仿宋-GB2312" w:hint="eastAsia"/>
          <w:szCs w:val="32"/>
        </w:rPr>
        <w:t xml:space="preserve">  </w:t>
      </w:r>
      <w:r w:rsidRPr="006B2C08">
        <w:rPr>
          <w:rFonts w:eastAsia="楷体_GB2312" w:cs="CESI仿宋-GB2312" w:hint="eastAsia"/>
          <w:szCs w:val="32"/>
        </w:rPr>
        <w:t>总</w:t>
      </w:r>
      <w:r w:rsidRPr="006B2C08">
        <w:rPr>
          <w:rFonts w:eastAsia="楷体_GB2312" w:cs="CESI仿宋-GB2312" w:hint="eastAsia"/>
          <w:szCs w:val="32"/>
        </w:rPr>
        <w:t xml:space="preserve">  </w:t>
      </w:r>
      <w:r w:rsidRPr="006B2C08">
        <w:rPr>
          <w:rFonts w:eastAsia="楷体_GB2312" w:cs="CESI仿宋-GB2312" w:hint="eastAsia"/>
          <w:szCs w:val="32"/>
        </w:rPr>
        <w:t>则</w:t>
      </w:r>
    </w:p>
    <w:p w14:paraId="226866CE" w14:textId="77777777" w:rsidR="006B2C08" w:rsidRPr="006B2C08" w:rsidRDefault="006B2C08" w:rsidP="006B2C08">
      <w:pPr>
        <w:spacing w:line="594" w:lineRule="exact"/>
        <w:ind w:firstLineChars="200" w:firstLine="640"/>
        <w:rPr>
          <w:rFonts w:eastAsia="楷体_GB2312" w:cs="CESI仿宋-GB2312" w:hint="eastAsia"/>
          <w:szCs w:val="32"/>
        </w:rPr>
      </w:pPr>
      <w:r w:rsidRPr="006B2C08">
        <w:rPr>
          <w:rFonts w:eastAsia="楷体_GB2312" w:cs="CESI仿宋-GB2312" w:hint="eastAsia"/>
          <w:szCs w:val="32"/>
        </w:rPr>
        <w:t>第二章</w:t>
      </w:r>
      <w:r w:rsidRPr="006B2C08">
        <w:rPr>
          <w:rFonts w:eastAsia="楷体_GB2312" w:cs="CESI仿宋-GB2312" w:hint="eastAsia"/>
          <w:szCs w:val="32"/>
        </w:rPr>
        <w:t xml:space="preserve">  </w:t>
      </w:r>
      <w:r w:rsidRPr="006B2C08">
        <w:rPr>
          <w:rFonts w:eastAsia="楷体_GB2312" w:cs="CESI仿宋-GB2312" w:hint="eastAsia"/>
          <w:szCs w:val="32"/>
        </w:rPr>
        <w:t>城乡规划</w:t>
      </w:r>
    </w:p>
    <w:p w14:paraId="1A3CAF3A" w14:textId="77777777" w:rsidR="006B2C08" w:rsidRPr="006B2C08" w:rsidRDefault="006B2C08" w:rsidP="006B2C08">
      <w:pPr>
        <w:spacing w:line="594" w:lineRule="exact"/>
        <w:ind w:firstLineChars="200" w:firstLine="640"/>
        <w:rPr>
          <w:rFonts w:eastAsia="楷体_GB2312" w:cs="CESI仿宋-GB2312" w:hint="eastAsia"/>
          <w:szCs w:val="32"/>
        </w:rPr>
      </w:pPr>
      <w:r w:rsidRPr="006B2C08">
        <w:rPr>
          <w:rFonts w:eastAsia="楷体_GB2312" w:cs="CESI仿宋-GB2312" w:hint="eastAsia"/>
          <w:szCs w:val="32"/>
        </w:rPr>
        <w:t>第三章</w:t>
      </w:r>
      <w:r w:rsidRPr="006B2C08">
        <w:rPr>
          <w:rFonts w:eastAsia="楷体_GB2312" w:cs="CESI仿宋-GB2312" w:hint="eastAsia"/>
          <w:szCs w:val="32"/>
        </w:rPr>
        <w:t xml:space="preserve">  </w:t>
      </w:r>
      <w:r w:rsidRPr="006B2C08">
        <w:rPr>
          <w:rFonts w:eastAsia="楷体_GB2312" w:cs="CESI仿宋-GB2312" w:hint="eastAsia"/>
          <w:szCs w:val="32"/>
        </w:rPr>
        <w:t>城乡建设</w:t>
      </w:r>
    </w:p>
    <w:p w14:paraId="251AF500" w14:textId="77777777" w:rsidR="006B2C08" w:rsidRPr="006B2C08" w:rsidRDefault="006B2C08" w:rsidP="006B2C08">
      <w:pPr>
        <w:spacing w:line="594" w:lineRule="exact"/>
        <w:ind w:firstLineChars="200" w:firstLine="640"/>
        <w:rPr>
          <w:rFonts w:eastAsia="楷体_GB2312" w:cs="CESI仿宋-GB2312" w:hint="eastAsia"/>
          <w:szCs w:val="32"/>
        </w:rPr>
      </w:pPr>
      <w:r w:rsidRPr="006B2C08">
        <w:rPr>
          <w:rFonts w:eastAsia="楷体_GB2312" w:cs="CESI仿宋-GB2312" w:hint="eastAsia"/>
          <w:szCs w:val="32"/>
        </w:rPr>
        <w:t>第四章</w:t>
      </w:r>
      <w:r w:rsidRPr="006B2C08">
        <w:rPr>
          <w:rFonts w:eastAsia="楷体_GB2312" w:cs="CESI仿宋-GB2312" w:hint="eastAsia"/>
          <w:szCs w:val="32"/>
        </w:rPr>
        <w:t xml:space="preserve">  </w:t>
      </w:r>
      <w:r w:rsidRPr="006B2C08">
        <w:rPr>
          <w:rFonts w:eastAsia="楷体_GB2312" w:cs="CESI仿宋-GB2312" w:hint="eastAsia"/>
          <w:szCs w:val="32"/>
        </w:rPr>
        <w:t>城乡管理</w:t>
      </w:r>
    </w:p>
    <w:p w14:paraId="1635CBEE" w14:textId="77777777" w:rsidR="006B2C08" w:rsidRPr="006B2C08" w:rsidRDefault="006B2C08" w:rsidP="006B2C08">
      <w:pPr>
        <w:spacing w:line="594" w:lineRule="exact"/>
        <w:ind w:firstLineChars="200" w:firstLine="640"/>
        <w:rPr>
          <w:rFonts w:eastAsia="楷体_GB2312" w:cs="CESI仿宋-GB2312" w:hint="eastAsia"/>
          <w:szCs w:val="32"/>
        </w:rPr>
      </w:pPr>
      <w:r w:rsidRPr="006B2C08">
        <w:rPr>
          <w:rFonts w:eastAsia="楷体_GB2312" w:cs="CESI仿宋-GB2312" w:hint="eastAsia"/>
          <w:szCs w:val="32"/>
        </w:rPr>
        <w:t>第五章</w:t>
      </w:r>
      <w:r w:rsidRPr="006B2C08">
        <w:rPr>
          <w:rFonts w:eastAsia="楷体_GB2312" w:cs="CESI仿宋-GB2312" w:hint="eastAsia"/>
          <w:szCs w:val="32"/>
        </w:rPr>
        <w:t xml:space="preserve">  </w:t>
      </w:r>
      <w:r w:rsidRPr="006B2C08">
        <w:rPr>
          <w:rFonts w:eastAsia="楷体_GB2312" w:cs="CESI仿宋-GB2312" w:hint="eastAsia"/>
          <w:szCs w:val="32"/>
        </w:rPr>
        <w:t>法律责任</w:t>
      </w:r>
    </w:p>
    <w:p w14:paraId="28DD3584" w14:textId="77777777" w:rsidR="006B2C08" w:rsidRPr="006B2C08" w:rsidRDefault="006B2C08" w:rsidP="006B2C08">
      <w:pPr>
        <w:spacing w:line="594" w:lineRule="exact"/>
        <w:ind w:firstLineChars="200" w:firstLine="640"/>
        <w:rPr>
          <w:rFonts w:eastAsia="楷体_GB2312" w:cs="CESI仿宋-GB2312" w:hint="eastAsia"/>
          <w:szCs w:val="32"/>
        </w:rPr>
      </w:pPr>
      <w:r w:rsidRPr="006B2C08">
        <w:rPr>
          <w:rFonts w:eastAsia="楷体_GB2312" w:cs="CESI仿宋-GB2312" w:hint="eastAsia"/>
          <w:szCs w:val="32"/>
        </w:rPr>
        <w:t>第六章</w:t>
      </w:r>
      <w:r w:rsidRPr="006B2C08">
        <w:rPr>
          <w:rFonts w:eastAsia="楷体_GB2312" w:cs="CESI仿宋-GB2312" w:hint="eastAsia"/>
          <w:szCs w:val="32"/>
        </w:rPr>
        <w:t xml:space="preserve">  </w:t>
      </w:r>
      <w:r w:rsidRPr="006B2C08">
        <w:rPr>
          <w:rFonts w:eastAsia="楷体_GB2312" w:cs="CESI仿宋-GB2312" w:hint="eastAsia"/>
          <w:szCs w:val="32"/>
        </w:rPr>
        <w:t>附</w:t>
      </w:r>
      <w:r w:rsidRPr="006B2C08">
        <w:rPr>
          <w:rFonts w:eastAsia="楷体_GB2312" w:cs="CESI仿宋-GB2312" w:hint="eastAsia"/>
          <w:szCs w:val="32"/>
        </w:rPr>
        <w:t xml:space="preserve">  </w:t>
      </w:r>
      <w:r w:rsidRPr="006B2C08">
        <w:rPr>
          <w:rFonts w:eastAsia="楷体_GB2312" w:cs="CESI仿宋-GB2312" w:hint="eastAsia"/>
          <w:szCs w:val="32"/>
        </w:rPr>
        <w:t>则</w:t>
      </w:r>
    </w:p>
    <w:p w14:paraId="495ACA71"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p>
    <w:p w14:paraId="3B152173" w14:textId="77777777" w:rsidR="006B2C08" w:rsidRPr="006B2C08" w:rsidRDefault="006B2C08" w:rsidP="006B2C08">
      <w:pPr>
        <w:adjustRightInd w:val="0"/>
        <w:snapToGrid w:val="0"/>
        <w:spacing w:line="594" w:lineRule="exact"/>
        <w:jc w:val="center"/>
        <w:rPr>
          <w:rFonts w:eastAsia="黑体" w:cs="CESI黑体-GB2312" w:hint="eastAsia"/>
          <w:szCs w:val="32"/>
        </w:rPr>
      </w:pPr>
      <w:r w:rsidRPr="006B2C08">
        <w:rPr>
          <w:rFonts w:eastAsia="黑体" w:cs="CESI黑体-GB2312" w:hint="eastAsia"/>
          <w:szCs w:val="32"/>
        </w:rPr>
        <w:lastRenderedPageBreak/>
        <w:t>第一章</w:t>
      </w:r>
      <w:r w:rsidRPr="006B2C08">
        <w:rPr>
          <w:rFonts w:eastAsia="黑体" w:cs="CESI黑体-GB2312" w:hint="eastAsia"/>
          <w:szCs w:val="32"/>
        </w:rPr>
        <w:t xml:space="preserve">  </w:t>
      </w:r>
      <w:r w:rsidRPr="006B2C08">
        <w:rPr>
          <w:rFonts w:eastAsia="黑体" w:cs="CESI黑体-GB2312" w:hint="eastAsia"/>
          <w:szCs w:val="32"/>
        </w:rPr>
        <w:t>总</w:t>
      </w:r>
      <w:r w:rsidRPr="006B2C08">
        <w:rPr>
          <w:rFonts w:eastAsia="黑体" w:cs="CESI黑体-GB2312" w:hint="eastAsia"/>
          <w:szCs w:val="32"/>
        </w:rPr>
        <w:t xml:space="preserve">  </w:t>
      </w:r>
      <w:r w:rsidRPr="006B2C08">
        <w:rPr>
          <w:rFonts w:eastAsia="黑体" w:cs="CESI黑体-GB2312" w:hint="eastAsia"/>
          <w:szCs w:val="32"/>
        </w:rPr>
        <w:t>则</w:t>
      </w:r>
    </w:p>
    <w:p w14:paraId="34B10ECC" w14:textId="77777777" w:rsidR="006B2C08" w:rsidRPr="006B2C08" w:rsidRDefault="006B2C08" w:rsidP="006B2C08">
      <w:pPr>
        <w:spacing w:line="594" w:lineRule="exact"/>
        <w:ind w:firstLineChars="200" w:firstLine="640"/>
        <w:jc w:val="left"/>
        <w:rPr>
          <w:rFonts w:eastAsia="黑体" w:cs="CESI黑体-GB2312" w:hint="eastAsia"/>
          <w:szCs w:val="32"/>
        </w:rPr>
      </w:pPr>
    </w:p>
    <w:p w14:paraId="07916FAB"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黑体" w:cs="CESI黑体-GB2312" w:hint="eastAsia"/>
          <w:szCs w:val="32"/>
        </w:rPr>
        <w:t>第一条</w:t>
      </w:r>
      <w:r w:rsidRPr="006B2C08">
        <w:rPr>
          <w:rFonts w:eastAsia="仿宋_GB2312" w:cs="CESI仿宋-GB2312" w:hint="eastAsia"/>
          <w:bCs/>
          <w:kern w:val="0"/>
          <w:szCs w:val="32"/>
        </w:rPr>
        <w:t xml:space="preserve">  </w:t>
      </w:r>
      <w:r w:rsidRPr="006B2C08">
        <w:rPr>
          <w:rFonts w:eastAsia="仿宋_GB2312" w:cs="CESI仿宋-GB2312" w:hint="eastAsia"/>
          <w:bCs/>
          <w:kern w:val="0"/>
          <w:szCs w:val="32"/>
        </w:rPr>
        <w:t>为加强彭水</w:t>
      </w:r>
      <w:hyperlink r:id="rId6" w:tgtFrame="_blank" w:history="1">
        <w:r w:rsidRPr="006B2C08">
          <w:rPr>
            <w:rFonts w:eastAsia="仿宋_GB2312" w:cs="CESI仿宋-GB2312" w:hint="eastAsia"/>
            <w:bCs/>
            <w:kern w:val="0"/>
            <w:szCs w:val="32"/>
          </w:rPr>
          <w:t>苗族</w:t>
        </w:r>
      </w:hyperlink>
      <w:r w:rsidRPr="006B2C08">
        <w:rPr>
          <w:rFonts w:eastAsia="仿宋_GB2312" w:cs="CESI仿宋-GB2312" w:hint="eastAsia"/>
          <w:bCs/>
          <w:kern w:val="0"/>
          <w:szCs w:val="32"/>
        </w:rPr>
        <w:t>土家族自治县（以下简称“自治县”）城乡建设管理，促进城乡统筹和经济社会全面、协调、可持续发展，根据《</w:t>
      </w:r>
      <w:hyperlink r:id="rId7" w:tgtFrame="_blank" w:history="1">
        <w:r w:rsidRPr="006B2C08">
          <w:rPr>
            <w:rFonts w:eastAsia="仿宋_GB2312" w:cs="CESI仿宋-GB2312" w:hint="eastAsia"/>
            <w:bCs/>
            <w:kern w:val="0"/>
            <w:szCs w:val="32"/>
          </w:rPr>
          <w:t>彭水苗族土家族自治县自治条例</w:t>
        </w:r>
      </w:hyperlink>
      <w:r w:rsidRPr="006B2C08">
        <w:rPr>
          <w:rFonts w:eastAsia="仿宋_GB2312" w:cs="CESI仿宋-GB2312" w:hint="eastAsia"/>
          <w:bCs/>
          <w:kern w:val="0"/>
          <w:szCs w:val="32"/>
        </w:rPr>
        <w:t>》等有关法律、法规的规定，结合本县实际，制定本条例。</w:t>
      </w:r>
    </w:p>
    <w:p w14:paraId="7175B881"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第二条</w:t>
      </w:r>
      <w:r w:rsidRPr="006B2C08">
        <w:rPr>
          <w:rFonts w:eastAsia="仿宋_GB2312" w:cs="CESI仿宋-GB2312" w:hint="eastAsia"/>
          <w:bCs/>
          <w:szCs w:val="32"/>
        </w:rPr>
        <w:t xml:space="preserve">  </w:t>
      </w:r>
      <w:r w:rsidRPr="006B2C08">
        <w:rPr>
          <w:rFonts w:eastAsia="仿宋_GB2312" w:cs="CESI仿宋-GB2312" w:hint="eastAsia"/>
          <w:bCs/>
          <w:szCs w:val="32"/>
        </w:rPr>
        <w:t>建设管理是指城乡规划、城乡建设和城乡管理等社会公共管理。</w:t>
      </w:r>
    </w:p>
    <w:p w14:paraId="4C340E58"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仿宋_GB2312" w:cs="CESI仿宋-GB2312" w:hint="eastAsia"/>
          <w:bCs/>
          <w:kern w:val="0"/>
          <w:szCs w:val="32"/>
        </w:rPr>
        <w:t>本条例所称规划区，是指县城、乡镇和村建成区及因城乡建设和发展需要，应当实行规划控制的区域。</w:t>
      </w:r>
    </w:p>
    <w:p w14:paraId="04172BF3"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黑体" w:cs="CESI黑体-GB2312" w:hint="eastAsia"/>
          <w:szCs w:val="32"/>
        </w:rPr>
        <w:t>第三条</w:t>
      </w:r>
      <w:r w:rsidRPr="006B2C08">
        <w:rPr>
          <w:rFonts w:eastAsia="仿宋_GB2312" w:cs="CESI黑体-GB2312" w:hint="eastAsia"/>
          <w:szCs w:val="32"/>
        </w:rPr>
        <w:t xml:space="preserve">  </w:t>
      </w:r>
      <w:r w:rsidRPr="006B2C08">
        <w:rPr>
          <w:rFonts w:eastAsia="仿宋_GB2312" w:cs="CESI仿宋-GB2312" w:hint="eastAsia"/>
          <w:bCs/>
          <w:kern w:val="0"/>
          <w:szCs w:val="32"/>
        </w:rPr>
        <w:t>在自治县行政区域内从事城乡规划、建设和管理等活动的单位和个人，应当遵守本条例。</w:t>
      </w:r>
    </w:p>
    <w:p w14:paraId="07FDC4ED"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第四条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自治县人民政府规划自然资源主管部门负责全县的城乡规划管理工作，住房城乡建设主管部门负责全县的城乡建设管理工作，城市管理主管部门负责全县的城市管理工作。</w:t>
      </w:r>
    </w:p>
    <w:p w14:paraId="2D785BB1"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发展改革、财政、水利、生态环境、交通、教育、卫生健康、市场监管、公安、民政、广播电视、电力、通信等部门和单位应当依照有关法律法规和本条例的规定，在职责范围内做好城乡规划、建设和管理工作。</w:t>
      </w:r>
    </w:p>
    <w:p w14:paraId="7D62537D"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乡镇人民政府按照本条例规定负责本行政区域内的城乡规划、建设和管理工作。</w:t>
      </w:r>
    </w:p>
    <w:p w14:paraId="4029D979"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第五条</w:t>
      </w:r>
      <w:r w:rsidRPr="006B2C08">
        <w:rPr>
          <w:rFonts w:eastAsia="仿宋_GB2312" w:cs="CESI仿宋-GB2312" w:hint="eastAsia"/>
          <w:bCs/>
          <w:szCs w:val="32"/>
        </w:rPr>
        <w:t xml:space="preserve">  </w:t>
      </w:r>
      <w:r w:rsidRPr="006B2C08">
        <w:rPr>
          <w:rFonts w:eastAsia="仿宋_GB2312" w:cs="CESI仿宋-GB2312" w:hint="eastAsia"/>
          <w:bCs/>
          <w:szCs w:val="32"/>
        </w:rPr>
        <w:t>自治县、乡镇人民政府应当将城乡规划、建设和管</w:t>
      </w:r>
      <w:r w:rsidRPr="006B2C08">
        <w:rPr>
          <w:rFonts w:eastAsia="仿宋_GB2312" w:cs="CESI仿宋-GB2312" w:hint="eastAsia"/>
          <w:bCs/>
          <w:szCs w:val="32"/>
        </w:rPr>
        <w:lastRenderedPageBreak/>
        <w:t>理经费纳入同级财政预算。</w:t>
      </w:r>
    </w:p>
    <w:p w14:paraId="2088C290"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仿宋_GB2312" w:cs="CESI仿宋-GB2312" w:hint="eastAsia"/>
          <w:bCs/>
          <w:szCs w:val="32"/>
        </w:rPr>
        <w:t>国有土地出让净收益主要用于城乡基础设施建设。</w:t>
      </w:r>
    </w:p>
    <w:p w14:paraId="399CCC5B" w14:textId="77777777" w:rsidR="006B2C08" w:rsidRPr="006B2C08" w:rsidRDefault="006B2C08" w:rsidP="006B2C08">
      <w:pPr>
        <w:spacing w:line="594" w:lineRule="exact"/>
        <w:ind w:firstLineChars="200" w:firstLine="640"/>
        <w:jc w:val="left"/>
        <w:rPr>
          <w:rFonts w:eastAsia="仿宋_GB2312" w:cs="CESI仿宋-GB2312" w:hint="eastAsia"/>
          <w:bCs/>
          <w:kern w:val="0"/>
          <w:szCs w:val="32"/>
        </w:rPr>
      </w:pPr>
      <w:r w:rsidRPr="006B2C08">
        <w:rPr>
          <w:rFonts w:eastAsia="仿宋_GB2312" w:cs="CESI仿宋-GB2312" w:hint="eastAsia"/>
          <w:bCs/>
          <w:kern w:val="0"/>
          <w:szCs w:val="32"/>
        </w:rPr>
        <w:t>鼓励单位和个人投资参与城乡建设，依法保护投资者的合法权益。</w:t>
      </w:r>
    </w:p>
    <w:p w14:paraId="4F5881D2" w14:textId="77777777" w:rsidR="006B2C08" w:rsidRPr="006B2C08" w:rsidRDefault="006B2C08" w:rsidP="006B2C08">
      <w:pPr>
        <w:pStyle w:val="4"/>
        <w:spacing w:before="0" w:line="594" w:lineRule="exact"/>
        <w:rPr>
          <w:rFonts w:eastAsia="黑体" w:hint="eastAsia"/>
          <w:sz w:val="32"/>
        </w:rPr>
      </w:pPr>
    </w:p>
    <w:p w14:paraId="11792910" w14:textId="77777777" w:rsidR="006B2C08" w:rsidRPr="006B2C08" w:rsidRDefault="006B2C08" w:rsidP="006B2C08">
      <w:pPr>
        <w:adjustRightInd w:val="0"/>
        <w:snapToGrid w:val="0"/>
        <w:spacing w:line="594" w:lineRule="exact"/>
        <w:jc w:val="center"/>
        <w:rPr>
          <w:rFonts w:eastAsia="黑体" w:cs="CESI黑体-GB2312" w:hint="eastAsia"/>
          <w:szCs w:val="32"/>
        </w:rPr>
      </w:pPr>
      <w:r w:rsidRPr="006B2C08">
        <w:rPr>
          <w:rFonts w:eastAsia="黑体" w:cs="CESI黑体-GB2312" w:hint="eastAsia"/>
          <w:szCs w:val="32"/>
        </w:rPr>
        <w:t>第二章</w:t>
      </w:r>
      <w:r w:rsidRPr="006B2C08">
        <w:rPr>
          <w:rFonts w:eastAsia="黑体" w:cs="CESI黑体-GB2312" w:hint="eastAsia"/>
          <w:szCs w:val="32"/>
        </w:rPr>
        <w:t xml:space="preserve">  </w:t>
      </w:r>
      <w:r w:rsidRPr="006B2C08">
        <w:rPr>
          <w:rFonts w:eastAsia="黑体" w:cs="CESI黑体-GB2312" w:hint="eastAsia"/>
          <w:szCs w:val="32"/>
        </w:rPr>
        <w:t>城乡规划</w:t>
      </w:r>
    </w:p>
    <w:p w14:paraId="70290122" w14:textId="77777777" w:rsidR="006B2C08" w:rsidRPr="006B2C08" w:rsidRDefault="006B2C08" w:rsidP="006B2C08">
      <w:pPr>
        <w:spacing w:line="594" w:lineRule="exact"/>
        <w:ind w:firstLineChars="200" w:firstLine="640"/>
        <w:rPr>
          <w:rFonts w:eastAsia="黑体" w:cs="CESI黑体-GB2312" w:hint="eastAsia"/>
          <w:szCs w:val="32"/>
        </w:rPr>
      </w:pPr>
    </w:p>
    <w:p w14:paraId="701D69A3"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第六条</w:t>
      </w:r>
      <w:r w:rsidRPr="006B2C08">
        <w:rPr>
          <w:rFonts w:eastAsia="仿宋_GB2312" w:cs="CESI仿宋-GB2312" w:hint="eastAsia"/>
          <w:bCs/>
          <w:szCs w:val="32"/>
        </w:rPr>
        <w:t xml:space="preserve">  </w:t>
      </w:r>
      <w:r w:rsidRPr="006B2C08">
        <w:rPr>
          <w:rFonts w:eastAsia="仿宋_GB2312" w:cs="CESI仿宋-GB2312" w:hint="eastAsia"/>
          <w:bCs/>
          <w:szCs w:val="32"/>
        </w:rPr>
        <w:t>城乡规划应适应自治县经济与社会发展的需要，注重经济效益、社会效益和环境效益的和谐统一。</w:t>
      </w:r>
    </w:p>
    <w:p w14:paraId="336A8ED2"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城乡规划应当结合当地的自然条件、历史文化、民族文化，在建筑风格风貌、景观设计上，体现地方特点和苗族、土家族等民族特色。</w:t>
      </w:r>
    </w:p>
    <w:p w14:paraId="19F5EAD4"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黑体" w:cs="CESI黑体-GB2312" w:hint="eastAsia"/>
          <w:szCs w:val="32"/>
        </w:rPr>
        <w:t>第七条</w:t>
      </w:r>
      <w:r w:rsidRPr="006B2C08">
        <w:rPr>
          <w:rFonts w:eastAsia="仿宋_GB2312" w:cs="CESI仿宋-GB2312" w:hint="eastAsia"/>
          <w:bCs/>
          <w:kern w:val="0"/>
          <w:szCs w:val="32"/>
        </w:rPr>
        <w:t xml:space="preserve">  </w:t>
      </w:r>
      <w:r w:rsidRPr="006B2C08">
        <w:rPr>
          <w:rFonts w:eastAsia="仿宋_GB2312" w:cs="CESI仿宋-GB2312" w:hint="eastAsia"/>
          <w:bCs/>
          <w:kern w:val="0"/>
          <w:szCs w:val="32"/>
        </w:rPr>
        <w:t>自治县成立的城乡规划委员会，负责审议县域内城乡总体规划、控制性详细规划、重要地段城市设计草案；审查重大市政基础设施建设项目、风景名胜区建设项目、临街（江）重要建设项目的选址和规划设计方案；组织调研城乡规划建设管理中的重大问题。</w:t>
      </w:r>
    </w:p>
    <w:p w14:paraId="0A3E8702"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第八条</w:t>
      </w:r>
      <w:r w:rsidRPr="006B2C08">
        <w:rPr>
          <w:rFonts w:eastAsia="仿宋_GB2312" w:cs="CESI黑体-GB2312" w:hint="eastAsia"/>
          <w:szCs w:val="32"/>
        </w:rPr>
        <w:t xml:space="preserve"> </w:t>
      </w:r>
      <w:r w:rsidRPr="006B2C08">
        <w:rPr>
          <w:rFonts w:eastAsia="仿宋_GB2312" w:cs="CESI仿宋-GB2312" w:hint="eastAsia"/>
          <w:bCs/>
          <w:szCs w:val="32"/>
        </w:rPr>
        <w:t xml:space="preserve"> </w:t>
      </w:r>
      <w:r w:rsidRPr="006B2C08">
        <w:rPr>
          <w:rFonts w:eastAsia="仿宋_GB2312" w:cs="CESI仿宋-GB2312" w:hint="eastAsia"/>
          <w:bCs/>
          <w:szCs w:val="32"/>
        </w:rPr>
        <w:t>自治县城乡总体规划和城市总体规划，由自治县人民政府组织编制，经自治县人民代表大会常务委员会审议后，报市人民政府审批；镇总体规划由镇人民政府组织编制，经镇人民代表大会审议通过后，报自治县人民政府审批；乡规划由乡人民政府组织编制，经乡人民代表大会审议通过后，报自治县人民政</w:t>
      </w:r>
      <w:r w:rsidRPr="006B2C08">
        <w:rPr>
          <w:rFonts w:eastAsia="仿宋_GB2312" w:cs="CESI仿宋-GB2312" w:hint="eastAsia"/>
          <w:bCs/>
          <w:szCs w:val="32"/>
        </w:rPr>
        <w:lastRenderedPageBreak/>
        <w:t>府审批；村规划，由乡镇人民政府组织编制，经村民代表会或村民会议审议通过后，报自治县人民政府审批。</w:t>
      </w:r>
    </w:p>
    <w:p w14:paraId="1BCE0FDA"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规划编制机关报送审批城市总体规划、镇总体规划、乡规划和村规划时，应当将本级人民代表大会常务委员会组成人员或乡镇人民代表大会代表、村民代表大会代表审议意见、村民意见和根据意见修改规划的情况一并报送。</w:t>
      </w:r>
    </w:p>
    <w:p w14:paraId="4B42D38B"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第九条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县城的控制性详细规划，由自治县规划自然资源主管部门组织编制，经自治县人民政府审批后报自治县人大常委会和市人民政府备案。</w:t>
      </w:r>
    </w:p>
    <w:p w14:paraId="5DBA61EC"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黑体" w:cs="CESI黑体-GB2312" w:hint="eastAsia"/>
          <w:szCs w:val="32"/>
        </w:rPr>
        <w:t>第十条</w:t>
      </w:r>
      <w:r w:rsidRPr="006B2C08">
        <w:rPr>
          <w:rFonts w:eastAsia="仿宋_GB2312" w:cs="CESI黑体-GB2312" w:hint="eastAsia"/>
          <w:szCs w:val="32"/>
        </w:rPr>
        <w:t xml:space="preserve"> </w:t>
      </w:r>
      <w:r w:rsidRPr="006B2C08">
        <w:rPr>
          <w:rFonts w:eastAsia="仿宋_GB2312" w:cs="CESI仿宋-GB2312" w:hint="eastAsia"/>
          <w:bCs/>
          <w:kern w:val="0"/>
          <w:szCs w:val="32"/>
        </w:rPr>
        <w:t xml:space="preserve"> </w:t>
      </w:r>
      <w:r w:rsidRPr="006B2C08">
        <w:rPr>
          <w:rFonts w:eastAsia="仿宋_GB2312" w:cs="CESI仿宋-GB2312" w:hint="eastAsia"/>
          <w:bCs/>
          <w:kern w:val="0"/>
          <w:szCs w:val="32"/>
        </w:rPr>
        <w:t>未经法定程序，城乡规划不得擅自变更。确需修改的，由原编制机关按本条例规定的程序办理。</w:t>
      </w:r>
    </w:p>
    <w:p w14:paraId="524B8030"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第十一条</w:t>
      </w:r>
      <w:r w:rsidRPr="006B2C08">
        <w:rPr>
          <w:rFonts w:eastAsia="仿宋_GB2312" w:cs="CESI仿宋-GB2312" w:hint="eastAsia"/>
          <w:bCs/>
          <w:szCs w:val="32"/>
        </w:rPr>
        <w:t xml:space="preserve">  </w:t>
      </w:r>
      <w:r w:rsidRPr="006B2C08">
        <w:rPr>
          <w:rFonts w:eastAsia="仿宋_GB2312" w:cs="CESI仿宋-GB2312" w:hint="eastAsia"/>
          <w:bCs/>
          <w:szCs w:val="32"/>
        </w:rPr>
        <w:t>城乡规划报送审批前，组织编制机关应当依法将城乡规划草案予以公告，并采取论证会、听证会或其他方式征求专家和公众的意见。公告时间不得少于</w:t>
      </w:r>
      <w:r w:rsidRPr="006B2C08">
        <w:rPr>
          <w:rFonts w:eastAsia="仿宋_GB2312" w:hint="eastAsia"/>
          <w:bCs/>
          <w:szCs w:val="32"/>
        </w:rPr>
        <w:t>30</w:t>
      </w:r>
      <w:r w:rsidRPr="006B2C08">
        <w:rPr>
          <w:rFonts w:eastAsia="仿宋_GB2312" w:cs="CESI仿宋-GB2312" w:hint="eastAsia"/>
          <w:bCs/>
          <w:szCs w:val="32"/>
        </w:rPr>
        <w:t>日。</w:t>
      </w:r>
    </w:p>
    <w:p w14:paraId="35818908"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仿宋_GB2312" w:cs="CESI仿宋-GB2312" w:hint="eastAsia"/>
          <w:bCs/>
          <w:kern w:val="0"/>
          <w:szCs w:val="32"/>
        </w:rPr>
        <w:t>城乡规划组织编制机关应当及时公布依法批准的城乡规划，法律、行政法规规定不得公开的内容除外。</w:t>
      </w:r>
    </w:p>
    <w:p w14:paraId="4572B858"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第十二条</w:t>
      </w:r>
      <w:r w:rsidRPr="006B2C08">
        <w:rPr>
          <w:rFonts w:eastAsia="仿宋_GB2312" w:cs="CESI仿宋-GB2312" w:hint="eastAsia"/>
          <w:bCs/>
          <w:szCs w:val="32"/>
        </w:rPr>
        <w:t xml:space="preserve">  </w:t>
      </w:r>
      <w:r w:rsidRPr="006B2C08">
        <w:rPr>
          <w:rFonts w:eastAsia="仿宋_GB2312" w:cs="CESI仿宋-GB2312" w:hint="eastAsia"/>
          <w:bCs/>
          <w:szCs w:val="32"/>
        </w:rPr>
        <w:t>在自治县行政区域内编制城乡规划应当符合国家城乡规划标准以及上一层级城乡规划，应当遵守国民经济和社会发展总体规划，并与土地利用总体规划相衔接。</w:t>
      </w:r>
    </w:p>
    <w:p w14:paraId="5D16E9E6"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制定和实施城乡规划，应当遵循城乡统筹、合理布局、节约土地、集约发展和先规划后建设的原则，改善生态环境，促进资源、能源节约和综合利用，保护自然资源和文化遗产，保持地方</w:t>
      </w:r>
      <w:r w:rsidRPr="006B2C08">
        <w:rPr>
          <w:rFonts w:eastAsia="仿宋_GB2312" w:cs="CESI仿宋-GB2312" w:hint="eastAsia"/>
          <w:bCs/>
          <w:szCs w:val="32"/>
        </w:rPr>
        <w:lastRenderedPageBreak/>
        <w:t>特色、民族特色和传统风貌，防止污染和其他公害，并符合区域人口发展、国防建设、防灾减灾和公共卫生、公共安全的需要。</w:t>
      </w:r>
    </w:p>
    <w:p w14:paraId="531805E7"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第十三条</w:t>
      </w:r>
      <w:r w:rsidRPr="006B2C08">
        <w:rPr>
          <w:rFonts w:eastAsia="仿宋_GB2312" w:cs="CESI黑体-GB2312" w:hint="eastAsia"/>
          <w:szCs w:val="32"/>
        </w:rPr>
        <w:t xml:space="preserve"> </w:t>
      </w:r>
      <w:r w:rsidRPr="006B2C08">
        <w:rPr>
          <w:rFonts w:eastAsia="仿宋_GB2312" w:cs="CESI仿宋-GB2312" w:hint="eastAsia"/>
          <w:bCs/>
          <w:szCs w:val="32"/>
        </w:rPr>
        <w:t xml:space="preserve"> </w:t>
      </w:r>
      <w:r w:rsidRPr="006B2C08">
        <w:rPr>
          <w:rFonts w:eastAsia="仿宋_GB2312" w:cs="CESI仿宋-GB2312" w:hint="eastAsia"/>
          <w:bCs/>
          <w:szCs w:val="32"/>
        </w:rPr>
        <w:t>自治县应加强村规划，在村规划区内建设村民住宅应坚持因地制宜、合理布局、适度集中。鼓励和引导村民保护、修建传统民居，彰显民族特色。</w:t>
      </w:r>
    </w:p>
    <w:p w14:paraId="5BA75797"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自治县各级人民政府应当积极改善严重缺水地区、地质灾害易发地区、地下采空区、水土流失严重地区居民的生存条件，逐步将不适宜居住且难以治理地区的居民迁出。</w:t>
      </w:r>
    </w:p>
    <w:p w14:paraId="3DD8328B"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第十四条</w:t>
      </w:r>
      <w:r w:rsidRPr="006B2C08">
        <w:rPr>
          <w:rFonts w:eastAsia="仿宋_GB2312" w:cs="CESI黑体-GB2312" w:hint="eastAsia"/>
          <w:szCs w:val="32"/>
        </w:rPr>
        <w:t xml:space="preserve"> </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在县城、镇规划区内进行建筑物、构筑物、道路、管线和其它工程建设的，建设单位和个人应当向自治县规划自然资源主管部门申请办理建设工程规划许可证。</w:t>
      </w:r>
    </w:p>
    <w:p w14:paraId="2A17CD8C"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在乡和村规划区内进行乡镇企业、乡村公共设施、公益事业建设和农村集中居民点建设的，建设单位或个人应当向乡镇人民政府提出申请，并由乡镇人民政府报经自治县规划自然资源主管部门核发乡村建设规划许可证。</w:t>
      </w:r>
    </w:p>
    <w:p w14:paraId="6E353F89"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仿宋_GB2312" w:cs="CESI仿宋-GB2312" w:hint="eastAsia"/>
          <w:szCs w:val="32"/>
          <w:shd w:val="clear" w:color="auto" w:fill="FFFFFF"/>
        </w:rPr>
        <w:t>在乡和村规划区内进行农村村民住宅建设的，建设个人应当向乡镇人民政府申请办理乡村建设规划许可证。</w:t>
      </w:r>
    </w:p>
    <w:p w14:paraId="0BD35625"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第十五条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在镇、乡规划区内进行临时建设的，应当经自治县规划自然资源主管部门批准。临时建设不得影响近期建设规划或控制性详细规划的实施，不得影响市容市貌和交通安全，不得妨碍他人的合法权益。</w:t>
      </w:r>
    </w:p>
    <w:p w14:paraId="459C8828"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临时建设的批准使用期限不得超过两年，使用期满后应当无</w:t>
      </w:r>
      <w:r w:rsidRPr="006B2C08">
        <w:rPr>
          <w:rFonts w:eastAsia="仿宋_GB2312" w:cs="CESI仿宋-GB2312" w:hint="eastAsia"/>
          <w:kern w:val="0"/>
          <w:szCs w:val="32"/>
          <w:shd w:val="clear" w:color="auto" w:fill="FFFFFF"/>
        </w:rPr>
        <w:lastRenderedPageBreak/>
        <w:t>条件自行拆除。建设未完工或使用期未满，因实施城乡规划需要拆除的，也应当无条件自行拆除。</w:t>
      </w:r>
    </w:p>
    <w:p w14:paraId="212041A5"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黑体" w:cs="CESI黑体-GB2312" w:hint="eastAsia"/>
          <w:szCs w:val="32"/>
        </w:rPr>
        <w:t>第十六条</w:t>
      </w:r>
      <w:r w:rsidRPr="006B2C08">
        <w:rPr>
          <w:rFonts w:eastAsia="仿宋_GB2312" w:cs="CESI黑体-GB2312" w:hint="eastAsia"/>
          <w:szCs w:val="32"/>
        </w:rPr>
        <w:t xml:space="preserve"> </w:t>
      </w:r>
      <w:r w:rsidRPr="006B2C08">
        <w:rPr>
          <w:rFonts w:eastAsia="仿宋_GB2312" w:cs="CESI仿宋-GB2312" w:hint="eastAsia"/>
          <w:bCs/>
          <w:szCs w:val="32"/>
        </w:rPr>
        <w:t xml:space="preserve"> </w:t>
      </w:r>
      <w:r w:rsidRPr="006B2C08">
        <w:rPr>
          <w:rFonts w:eastAsia="仿宋_GB2312" w:cs="CESI仿宋-GB2312" w:hint="eastAsia"/>
          <w:bCs/>
          <w:szCs w:val="32"/>
        </w:rPr>
        <w:t>建设单位或个人自取得建设工程规划许可证或乡村建设规划许可证之日起一年内未进行建设而又未办理延期手续的，取得的证书自行失效。确需继续建设的，应当报经原审批机关核准。</w:t>
      </w:r>
    </w:p>
    <w:p w14:paraId="6D832BFC"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第十七条</w:t>
      </w:r>
      <w:r w:rsidRPr="006B2C08">
        <w:rPr>
          <w:rFonts w:eastAsia="仿宋_GB2312" w:cs="CESI仿宋-GB2312" w:hint="eastAsia"/>
          <w:bCs/>
          <w:szCs w:val="32"/>
        </w:rPr>
        <w:t xml:space="preserve">  </w:t>
      </w:r>
      <w:r w:rsidRPr="006B2C08">
        <w:rPr>
          <w:rFonts w:eastAsia="仿宋_GB2312" w:cs="CESI仿宋-GB2312" w:hint="eastAsia"/>
          <w:bCs/>
          <w:szCs w:val="32"/>
        </w:rPr>
        <w:t>建设单位或个人应当按照建设工程规划许可证或乡村建设规划许可证及其附件、附图确定的内容进行建设，确需变更的，应当按原审批程序办理变更审批手续。</w:t>
      </w:r>
    </w:p>
    <w:p w14:paraId="5C3B429B"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施工单位或个人不得承接无建设工程规划许可证或乡村建设规划许可证的建设工程。</w:t>
      </w:r>
    </w:p>
    <w:p w14:paraId="6877090D"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黑体" w:cs="CESI黑体-GB2312" w:hint="eastAsia"/>
          <w:szCs w:val="32"/>
        </w:rPr>
        <w:t>第十八条</w:t>
      </w:r>
      <w:r w:rsidRPr="006B2C08">
        <w:rPr>
          <w:rFonts w:eastAsia="仿宋_GB2312" w:cs="CESI仿宋-GB2312" w:hint="eastAsia"/>
          <w:bCs/>
          <w:szCs w:val="32"/>
        </w:rPr>
        <w:t xml:space="preserve">  </w:t>
      </w:r>
      <w:r w:rsidRPr="006B2C08">
        <w:rPr>
          <w:rFonts w:eastAsia="仿宋_GB2312" w:cs="CESI仿宋-GB2312" w:hint="eastAsia"/>
          <w:bCs/>
          <w:szCs w:val="32"/>
        </w:rPr>
        <w:t>新建、改建、扩建建筑物、构筑物，主要采光面之间应保持合理间距。新城拓展区建筑间距执行《重庆市城市规划管理技术规定》的标准，结合自治县实际，旧城改造区新建住宅建筑间距不低于《重庆市城市规划管理技术规定》的标准的百分之六十，并符合有关建筑消防设计规范规定。</w:t>
      </w:r>
    </w:p>
    <w:p w14:paraId="39A32245"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第十九条</w:t>
      </w:r>
      <w:r w:rsidRPr="006B2C08">
        <w:rPr>
          <w:rFonts w:eastAsia="仿宋_GB2312" w:cs="CESI仿宋-GB2312" w:hint="eastAsia"/>
          <w:bCs/>
          <w:szCs w:val="32"/>
        </w:rPr>
        <w:t xml:space="preserve">  </w:t>
      </w:r>
      <w:r w:rsidRPr="006B2C08">
        <w:rPr>
          <w:rFonts w:eastAsia="仿宋_GB2312" w:cs="CESI仿宋-GB2312" w:hint="eastAsia"/>
          <w:bCs/>
          <w:szCs w:val="32"/>
        </w:rPr>
        <w:t>自治县人民政府根据国家和重庆市关于城乡规划、城市建设、房屋建筑等标准、规范，结合自治县自然条件、人文环境和经济发展需要，制定自治县城乡规划管理技术规定。</w:t>
      </w:r>
    </w:p>
    <w:p w14:paraId="42669625"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制定和实施城乡规划必须遵守规划管理技术规定。</w:t>
      </w:r>
    </w:p>
    <w:p w14:paraId="061FFB58" w14:textId="77777777" w:rsidR="006B2C08" w:rsidRPr="006B2C08" w:rsidRDefault="006B2C08" w:rsidP="006B2C08">
      <w:pPr>
        <w:spacing w:line="594" w:lineRule="exact"/>
        <w:jc w:val="center"/>
        <w:rPr>
          <w:rFonts w:eastAsia="黑体" w:cs="CESI黑体-GB2312"/>
          <w:szCs w:val="32"/>
        </w:rPr>
      </w:pPr>
    </w:p>
    <w:p w14:paraId="749AE48D" w14:textId="487D3325" w:rsidR="006B2C08" w:rsidRPr="006B2C08" w:rsidRDefault="006B2C08" w:rsidP="006B2C08">
      <w:pPr>
        <w:adjustRightInd w:val="0"/>
        <w:snapToGrid w:val="0"/>
        <w:spacing w:line="594" w:lineRule="exact"/>
        <w:jc w:val="center"/>
        <w:rPr>
          <w:rFonts w:eastAsia="黑体" w:cs="CESI黑体-GB2312" w:hint="eastAsia"/>
          <w:szCs w:val="32"/>
        </w:rPr>
      </w:pPr>
      <w:r w:rsidRPr="006B2C08">
        <w:rPr>
          <w:rFonts w:eastAsia="黑体" w:cs="CESI黑体-GB2312" w:hint="eastAsia"/>
          <w:szCs w:val="32"/>
        </w:rPr>
        <w:t>第三章</w:t>
      </w:r>
      <w:r w:rsidRPr="006B2C08">
        <w:rPr>
          <w:rFonts w:eastAsia="黑体" w:cs="CESI黑体-GB2312" w:hint="eastAsia"/>
          <w:szCs w:val="32"/>
        </w:rPr>
        <w:t xml:space="preserve"> </w:t>
      </w:r>
      <w:r w:rsidRPr="006B2C08">
        <w:rPr>
          <w:rFonts w:eastAsia="黑体" w:cs="CESI黑体-GB2312" w:hint="eastAsia"/>
          <w:szCs w:val="32"/>
        </w:rPr>
        <w:t>城乡建设</w:t>
      </w:r>
    </w:p>
    <w:p w14:paraId="753EF0A0" w14:textId="77777777" w:rsidR="006B2C08" w:rsidRPr="006B2C08" w:rsidRDefault="006B2C08" w:rsidP="006B2C08">
      <w:pPr>
        <w:spacing w:line="594" w:lineRule="exact"/>
        <w:ind w:firstLineChars="200" w:firstLine="640"/>
        <w:rPr>
          <w:rFonts w:eastAsia="黑体" w:cs="CESI黑体-GB2312" w:hint="eastAsia"/>
          <w:szCs w:val="32"/>
        </w:rPr>
      </w:pPr>
    </w:p>
    <w:p w14:paraId="0AA230A0"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第二十条</w:t>
      </w:r>
      <w:r w:rsidRPr="006B2C08">
        <w:rPr>
          <w:rFonts w:eastAsia="仿宋_GB2312" w:cs="CESI黑体-GB2312" w:hint="eastAsia"/>
          <w:szCs w:val="32"/>
        </w:rPr>
        <w:t xml:space="preserve"> </w:t>
      </w:r>
      <w:r w:rsidRPr="006B2C08">
        <w:rPr>
          <w:rFonts w:eastAsia="仿宋_GB2312" w:cs="CESI仿宋-GB2312" w:hint="eastAsia"/>
          <w:bCs/>
          <w:szCs w:val="32"/>
        </w:rPr>
        <w:t xml:space="preserve"> </w:t>
      </w:r>
      <w:r w:rsidRPr="006B2C08">
        <w:rPr>
          <w:rFonts w:eastAsia="仿宋_GB2312" w:cs="CESI仿宋-GB2312" w:hint="eastAsia"/>
          <w:bCs/>
          <w:szCs w:val="32"/>
        </w:rPr>
        <w:t>建筑工程勘察、设计应当符合城乡规划及有关法律法规的规定，遵循城乡功能定位确定的原则。</w:t>
      </w:r>
    </w:p>
    <w:p w14:paraId="0B301F67"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除法律法规规定和依法建设的临时性建筑以外的其他工程建设项目必须由取得相应资质等级证书的设计单位进行勘察、设计。</w:t>
      </w:r>
    </w:p>
    <w:p w14:paraId="50316B83"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第二十一条</w:t>
      </w:r>
      <w:r w:rsidRPr="006B2C08">
        <w:rPr>
          <w:rFonts w:eastAsia="仿宋_GB2312" w:cs="CESI仿宋-GB2312" w:hint="eastAsia"/>
          <w:bCs/>
          <w:szCs w:val="32"/>
        </w:rPr>
        <w:t xml:space="preserve">  </w:t>
      </w:r>
      <w:r w:rsidRPr="006B2C08">
        <w:rPr>
          <w:rFonts w:eastAsia="仿宋_GB2312" w:cs="CESI仿宋-GB2312" w:hint="eastAsia"/>
          <w:bCs/>
          <w:szCs w:val="32"/>
        </w:rPr>
        <w:t>自治县境内符合县级及其以上招标范围和规模标准的工程建设项目，必须在有关主管部门的监督下进行招投标。招投标活动应当遵循公开、公平、公正和诚实信用原则。</w:t>
      </w:r>
    </w:p>
    <w:p w14:paraId="12F66A2B"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任何单位或个人不得将依法必须进行招投标的项目化整为零或以其他方式规避招投标。</w:t>
      </w:r>
    </w:p>
    <w:p w14:paraId="1253A47A"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第二十二条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建设工程应当经自治县规划自然资源主管部门或其委托的工作机构现场定位放线后方可开工建设，但依法需办理施工许可的工程，应当取得施工许可证后方可开工建设。基础工程完工后，经复验无误，方可继续施工。</w:t>
      </w:r>
    </w:p>
    <w:p w14:paraId="2DD9A048"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黑体" w:cs="CESI黑体-GB2312" w:hint="eastAsia"/>
          <w:szCs w:val="32"/>
        </w:rPr>
        <w:t>第二十三条</w:t>
      </w:r>
      <w:r w:rsidRPr="006B2C08">
        <w:rPr>
          <w:rFonts w:eastAsia="仿宋_GB2312" w:cs="CESI仿宋-GB2312" w:hint="eastAsia"/>
          <w:bCs/>
          <w:szCs w:val="32"/>
        </w:rPr>
        <w:t xml:space="preserve">  </w:t>
      </w:r>
      <w:r w:rsidRPr="006B2C08">
        <w:rPr>
          <w:rFonts w:eastAsia="仿宋_GB2312" w:cs="CESI仿宋-GB2312" w:hint="eastAsia"/>
          <w:bCs/>
          <w:szCs w:val="32"/>
        </w:rPr>
        <w:t>建设项目应当执行国家和重庆市的工程建设技术标准，并按规定委托具有资质的单位进行监理。</w:t>
      </w:r>
    </w:p>
    <w:p w14:paraId="10E6BA55"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黑体" w:cs="CESI黑体-GB2312" w:hint="eastAsia"/>
          <w:szCs w:val="32"/>
        </w:rPr>
        <w:t>第二十四条</w:t>
      </w:r>
      <w:r w:rsidRPr="006B2C08">
        <w:rPr>
          <w:rFonts w:eastAsia="仿宋_GB2312" w:cs="CESI仿宋-GB2312" w:hint="eastAsia"/>
          <w:bCs/>
          <w:kern w:val="0"/>
          <w:szCs w:val="32"/>
        </w:rPr>
        <w:t xml:space="preserve">  </w:t>
      </w:r>
      <w:r w:rsidRPr="006B2C08">
        <w:rPr>
          <w:rFonts w:eastAsia="仿宋_GB2312" w:cs="CESI仿宋-GB2312" w:hint="eastAsia"/>
          <w:bCs/>
          <w:kern w:val="0"/>
          <w:szCs w:val="32"/>
        </w:rPr>
        <w:t>从事施工的单位必须持有效的营业执照、施工资质等级证书和安全生产许可证承包工程，不得越级承包工程。</w:t>
      </w:r>
    </w:p>
    <w:p w14:paraId="7E870FFD"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第二十五条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除抢险救灾、临时性房屋建筑和农民自建低层住宅以外的其他工程建设项目，应当依法办理质量安全监督手续，接受主管部门依法实施的质量安全监督。</w:t>
      </w:r>
    </w:p>
    <w:p w14:paraId="1E7D5732"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自治县住房城乡建设主管部门在审核发放施工许可证时，应</w:t>
      </w:r>
      <w:r w:rsidRPr="006B2C08">
        <w:rPr>
          <w:rFonts w:eastAsia="仿宋_GB2312" w:cs="CESI仿宋-GB2312" w:hint="eastAsia"/>
          <w:szCs w:val="32"/>
          <w:shd w:val="clear" w:color="auto" w:fill="FFFFFF"/>
        </w:rPr>
        <w:lastRenderedPageBreak/>
        <w:t>当对建设工程是否有安全施工措施进行审查，对没有安全施工措施的，不得颁发施工许可证。</w:t>
      </w:r>
    </w:p>
    <w:p w14:paraId="4986DD6C"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建设工程竣工后，经验收合格方可投入使用。未办理竣工验收备案手续的，有关部门不予办理权属登记等手续。</w:t>
      </w:r>
    </w:p>
    <w:p w14:paraId="55E96448"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第二十六条</w:t>
      </w:r>
      <w:r w:rsidRPr="006B2C08">
        <w:rPr>
          <w:rFonts w:eastAsia="仿宋_GB2312" w:cs="CESI黑体-GB2312" w:hint="eastAsia"/>
          <w:szCs w:val="32"/>
        </w:rPr>
        <w:t xml:space="preserve"> </w:t>
      </w:r>
      <w:r w:rsidRPr="006B2C08">
        <w:rPr>
          <w:rFonts w:eastAsia="仿宋_GB2312" w:cs="CESI仿宋-GB2312" w:hint="eastAsia"/>
          <w:bCs/>
          <w:szCs w:val="32"/>
        </w:rPr>
        <w:t xml:space="preserve"> </w:t>
      </w:r>
      <w:r w:rsidRPr="006B2C08">
        <w:rPr>
          <w:rFonts w:eastAsia="仿宋_GB2312" w:cs="CESI仿宋-GB2312" w:hint="eastAsia"/>
          <w:bCs/>
          <w:szCs w:val="32"/>
        </w:rPr>
        <w:t>建设单位应当按标准及时足额拨付建设工程安全作业环境及安全施工措施所需费用。</w:t>
      </w:r>
    </w:p>
    <w:p w14:paraId="75B8F525"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仿宋_GB2312" w:cs="CESI仿宋-GB2312" w:hint="eastAsia"/>
          <w:bCs/>
          <w:kern w:val="0"/>
          <w:szCs w:val="32"/>
        </w:rPr>
        <w:t>施工单位应当将建设工程概算的安全作业环境及安全施工措施所需费用，足额用于施工安全防护用具及设施的采购和更新、安全施工措施的落实、安全生产条件的改善，不得挪作他用。</w:t>
      </w:r>
    </w:p>
    <w:p w14:paraId="53A18839"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黑体" w:cs="CESI黑体-GB2312" w:hint="eastAsia"/>
          <w:szCs w:val="32"/>
        </w:rPr>
        <w:t>第二十七条</w:t>
      </w:r>
      <w:r w:rsidRPr="006B2C08">
        <w:rPr>
          <w:rFonts w:eastAsia="仿宋_GB2312" w:cs="CESI仿宋-GB2312" w:hint="eastAsia"/>
          <w:bCs/>
          <w:szCs w:val="32"/>
        </w:rPr>
        <w:t xml:space="preserve">  </w:t>
      </w:r>
      <w:r w:rsidRPr="006B2C08">
        <w:rPr>
          <w:rFonts w:eastAsia="仿宋_GB2312" w:cs="CESI仿宋-GB2312" w:hint="eastAsia"/>
          <w:bCs/>
          <w:szCs w:val="32"/>
        </w:rPr>
        <w:t>新建、改建、扩建建筑物应当按照国家节能标准，采用新工艺、新技术、新材料，实施建筑节能。</w:t>
      </w:r>
    </w:p>
    <w:p w14:paraId="76F3CF3E"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第二十八条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自治县住房城乡建设主管部门应当加强对村民住宅设计、建设的指导，向村民无偿提供设施完善、功能齐全、布局合理、造型多样、具有苗族土家族和巴渝民居特色的住宅设计图纸。</w:t>
      </w:r>
    </w:p>
    <w:p w14:paraId="026263E1"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第二十九条</w:t>
      </w:r>
      <w:r w:rsidRPr="006B2C08">
        <w:rPr>
          <w:rFonts w:eastAsia="仿宋_GB2312" w:cs="CESI黑体-GB2312" w:hint="eastAsia"/>
          <w:szCs w:val="32"/>
        </w:rPr>
        <w:t xml:space="preserve"> </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城乡建设不得占用河道河滩，不得填堵河道沟岔。河道岸线的利用和建设，应当服从城乡规划、环境保护规划、河道整治规划、防洪规划和绿化规划。</w:t>
      </w:r>
    </w:p>
    <w:p w14:paraId="139E6703"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自治县县城、乡镇规划的临河界限，由水行政主管部门或河道专门管理机关会同规划自然资源主管部门确定。沿河城镇在编制和审查城镇规划时，应当事先征求水行政主管部门或河道专门管理机关的意见。</w:t>
      </w:r>
    </w:p>
    <w:p w14:paraId="3EE2A161"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lastRenderedPageBreak/>
        <w:t>第三十条</w:t>
      </w:r>
      <w:r w:rsidRPr="006B2C08">
        <w:rPr>
          <w:rFonts w:eastAsia="仿宋_GB2312" w:cs="CESI仿宋-GB2312" w:hint="eastAsia"/>
          <w:bCs/>
          <w:szCs w:val="32"/>
        </w:rPr>
        <w:t xml:space="preserve">  </w:t>
      </w:r>
      <w:r w:rsidRPr="006B2C08">
        <w:rPr>
          <w:rFonts w:eastAsia="仿宋_GB2312" w:cs="CESI仿宋-GB2312" w:hint="eastAsia"/>
          <w:bCs/>
          <w:szCs w:val="32"/>
        </w:rPr>
        <w:t>在县城、乡镇规划区内新建、改建、扩建建筑物，应当缴纳城市建设配套费，专项用于城镇基础设施建设。</w:t>
      </w:r>
    </w:p>
    <w:p w14:paraId="1755D511" w14:textId="77777777" w:rsidR="006B2C08" w:rsidRPr="006B2C08" w:rsidRDefault="006B2C08" w:rsidP="006B2C08">
      <w:pPr>
        <w:spacing w:line="594" w:lineRule="exact"/>
        <w:jc w:val="center"/>
        <w:rPr>
          <w:rFonts w:eastAsia="黑体" w:cs="CESI黑体-GB2312" w:hint="eastAsia"/>
          <w:szCs w:val="32"/>
        </w:rPr>
      </w:pPr>
    </w:p>
    <w:p w14:paraId="52DBA3F3" w14:textId="77777777" w:rsidR="006B2C08" w:rsidRPr="006B2C08" w:rsidRDefault="006B2C08" w:rsidP="006B2C08">
      <w:pPr>
        <w:adjustRightInd w:val="0"/>
        <w:snapToGrid w:val="0"/>
        <w:spacing w:line="594" w:lineRule="exact"/>
        <w:jc w:val="center"/>
        <w:rPr>
          <w:rFonts w:eastAsia="黑体" w:cs="CESI黑体-GB2312" w:hint="eastAsia"/>
          <w:szCs w:val="32"/>
        </w:rPr>
      </w:pPr>
      <w:r w:rsidRPr="006B2C08">
        <w:rPr>
          <w:rFonts w:eastAsia="黑体" w:cs="CESI黑体-GB2312" w:hint="eastAsia"/>
          <w:szCs w:val="32"/>
        </w:rPr>
        <w:t>第四章</w:t>
      </w:r>
      <w:r w:rsidRPr="006B2C08">
        <w:rPr>
          <w:rFonts w:eastAsia="黑体" w:cs="CESI黑体-GB2312" w:hint="eastAsia"/>
          <w:szCs w:val="32"/>
        </w:rPr>
        <w:t xml:space="preserve">  </w:t>
      </w:r>
      <w:r w:rsidRPr="006B2C08">
        <w:rPr>
          <w:rFonts w:eastAsia="黑体" w:cs="CESI黑体-GB2312" w:hint="eastAsia"/>
          <w:szCs w:val="32"/>
        </w:rPr>
        <w:t>城乡管理</w:t>
      </w:r>
    </w:p>
    <w:p w14:paraId="4F2D72A6" w14:textId="77777777" w:rsidR="006B2C08" w:rsidRPr="006B2C08" w:rsidRDefault="006B2C08" w:rsidP="006B2C08">
      <w:pPr>
        <w:spacing w:line="594" w:lineRule="exact"/>
        <w:ind w:firstLineChars="200" w:firstLine="640"/>
        <w:rPr>
          <w:rFonts w:eastAsia="黑体" w:cs="CESI黑体-GB2312" w:hint="eastAsia"/>
          <w:szCs w:val="32"/>
        </w:rPr>
      </w:pPr>
    </w:p>
    <w:p w14:paraId="1D942E30"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第三十一条</w:t>
      </w:r>
      <w:r w:rsidRPr="006B2C08">
        <w:rPr>
          <w:rFonts w:eastAsia="仿宋_GB2312" w:cs="CESI仿宋-GB2312" w:hint="eastAsia"/>
          <w:bCs/>
          <w:szCs w:val="32"/>
        </w:rPr>
        <w:t xml:space="preserve">  </w:t>
      </w:r>
      <w:r w:rsidRPr="006B2C08">
        <w:rPr>
          <w:rFonts w:eastAsia="仿宋_GB2312" w:cs="CESI仿宋-GB2312" w:hint="eastAsia"/>
          <w:bCs/>
          <w:szCs w:val="32"/>
        </w:rPr>
        <w:t>在城乡规划区内新建、改建、扩建建筑物，应当统一规划，统筹安排，按照先地下后地上的施工原则配套建设市政基础设施、公共服务设施、公共消防设施、人防和电力通讯设施、停车场、园林绿化等，所需资金应当纳入建设工程概算。</w:t>
      </w:r>
    </w:p>
    <w:p w14:paraId="58BC9FC8"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仿宋_GB2312" w:cs="CESI仿宋-GB2312" w:hint="eastAsia"/>
          <w:bCs/>
          <w:kern w:val="0"/>
          <w:szCs w:val="32"/>
        </w:rPr>
        <w:t>未按规定配套建设的，建设单位不得组织相关单位进行竣工验收。</w:t>
      </w:r>
    </w:p>
    <w:p w14:paraId="574AAC46"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黑体" w:cs="CESI黑体-GB2312" w:hint="eastAsia"/>
          <w:szCs w:val="32"/>
        </w:rPr>
        <w:t>第三十二条</w:t>
      </w:r>
      <w:r w:rsidRPr="006B2C08">
        <w:rPr>
          <w:rFonts w:eastAsia="仿宋_GB2312" w:cs="CESI黑体-GB2312" w:hint="eastAsia"/>
          <w:szCs w:val="32"/>
        </w:rPr>
        <w:t xml:space="preserve"> </w:t>
      </w:r>
      <w:r w:rsidRPr="006B2C08">
        <w:rPr>
          <w:rFonts w:eastAsia="仿宋_GB2312" w:cs="CESI仿宋-GB2312" w:hint="eastAsia"/>
          <w:bCs/>
          <w:kern w:val="0"/>
          <w:szCs w:val="32"/>
        </w:rPr>
        <w:t xml:space="preserve"> </w:t>
      </w:r>
      <w:r w:rsidRPr="006B2C08">
        <w:rPr>
          <w:rFonts w:eastAsia="仿宋_GB2312" w:cs="CESI仿宋-GB2312" w:hint="eastAsia"/>
          <w:bCs/>
          <w:kern w:val="0"/>
          <w:szCs w:val="32"/>
        </w:rPr>
        <w:t>在城乡规划区内新建、改建、扩建道路，应当按照有关规划，同时埋设依附于城镇道路的通信、有线电视、供水、排水、供电、燃气、消防等地下管线或预留管道。</w:t>
      </w:r>
    </w:p>
    <w:p w14:paraId="66BFD37E"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黑体" w:cs="CESI黑体-GB2312" w:hint="eastAsia"/>
          <w:szCs w:val="32"/>
        </w:rPr>
        <w:t>第三十三条</w:t>
      </w:r>
      <w:r w:rsidRPr="006B2C08">
        <w:rPr>
          <w:rFonts w:eastAsia="仿宋_GB2312" w:cs="CESI仿宋-GB2312" w:hint="eastAsia"/>
          <w:bCs/>
          <w:szCs w:val="32"/>
        </w:rPr>
        <w:t xml:space="preserve">  </w:t>
      </w:r>
      <w:r w:rsidRPr="006B2C08">
        <w:rPr>
          <w:rFonts w:eastAsia="仿宋_GB2312" w:cs="CESI仿宋-GB2312" w:hint="eastAsia"/>
          <w:bCs/>
          <w:szCs w:val="32"/>
        </w:rPr>
        <w:t>自治县人民政府应当在城乡规划区内及规划区外的主干道、旅游线路上，合理规划建设公共厕所、候车亭、招呼站、停车场和应急避险的休闲广场。</w:t>
      </w:r>
    </w:p>
    <w:p w14:paraId="68216F59"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第三十四条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积极推行市政公用设施特许经营权制度改革，通过拍卖、租赁、转让等方式经营，逐步将市政公用行业市场化。</w:t>
      </w:r>
    </w:p>
    <w:p w14:paraId="65B99CB8"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自治县城市管理主管部门应当依据城乡规划建设管理的需要，组织编制本行政区域内的市政公用事业特许权经营权出让方案，报自治县人民政府批准后，向社会公布。</w:t>
      </w:r>
    </w:p>
    <w:p w14:paraId="1CBE348F"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lastRenderedPageBreak/>
        <w:t>特许经营权出让实行公开招投标。特许经营权出让的收入，全额上缴县财政，专项用于市政公用设施建设和维护。</w:t>
      </w:r>
    </w:p>
    <w:p w14:paraId="47F31323"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第三十五条</w:t>
      </w:r>
      <w:r w:rsidRPr="006B2C08">
        <w:rPr>
          <w:rFonts w:eastAsia="仿宋_GB2312" w:cs="CESI黑体-GB2312" w:hint="eastAsia"/>
          <w:szCs w:val="32"/>
        </w:rPr>
        <w:t xml:space="preserve"> </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自治县城市管理主管部门及其委托的工作机构，负责管理和养护辖区内公用设施。</w:t>
      </w:r>
    </w:p>
    <w:p w14:paraId="5332009A"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任何单位和个人不得擅自移动和拆除城乡规划区内设置的地名标志、交通标牌，以及避雷、邮政、通信、有线电视、供水、排水、电力、燃气、文物保护、消防、环境卫生等设施，不得擅自在公用设施上搭接、安装其他设备和物件。</w:t>
      </w:r>
    </w:p>
    <w:p w14:paraId="404DFA73"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第三十六条</w:t>
      </w:r>
      <w:r w:rsidRPr="006B2C08">
        <w:rPr>
          <w:rFonts w:eastAsia="仿宋_GB2312" w:cs="CESI黑体-GB2312" w:hint="eastAsia"/>
          <w:szCs w:val="32"/>
        </w:rPr>
        <w:t xml:space="preserve">  </w:t>
      </w:r>
      <w:r w:rsidRPr="006B2C08">
        <w:rPr>
          <w:rFonts w:eastAsia="仿宋_GB2312" w:cs="CESI仿宋-GB2312" w:hint="eastAsia"/>
          <w:bCs/>
          <w:szCs w:val="32"/>
        </w:rPr>
        <w:t>任何单位和个人不得擅自占用、挖掘城镇道路。因特殊情况确需挖掘的，应当报自治县人民政府审批。</w:t>
      </w:r>
    </w:p>
    <w:p w14:paraId="0A8DD3D7"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经批准占用、挖掘城镇道路的，应当按照批准的范围作业，并设置安全防护设施。工程完工后，应当及时恢复原状。</w:t>
      </w:r>
    </w:p>
    <w:p w14:paraId="7E048C35"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第三十七条</w:t>
      </w:r>
      <w:r w:rsidRPr="006B2C08">
        <w:rPr>
          <w:rFonts w:eastAsia="仿宋_GB2312" w:cs="CESI仿宋-GB2312" w:hint="eastAsia"/>
          <w:bCs/>
          <w:szCs w:val="32"/>
        </w:rPr>
        <w:t xml:space="preserve">  </w:t>
      </w:r>
      <w:r w:rsidRPr="006B2C08">
        <w:rPr>
          <w:rFonts w:eastAsia="仿宋_GB2312" w:cs="CESI仿宋-GB2312" w:hint="eastAsia"/>
          <w:bCs/>
          <w:szCs w:val="32"/>
        </w:rPr>
        <w:t>自治县应当规范对城乡规划区内的集贸市场管理。参加集贸活动的单位和个人应当到指定的市场内进行交易。</w:t>
      </w:r>
    </w:p>
    <w:p w14:paraId="0F83DACC" w14:textId="77777777" w:rsidR="006B2C08" w:rsidRPr="006B2C08" w:rsidRDefault="006B2C08" w:rsidP="006B2C08">
      <w:pPr>
        <w:spacing w:line="594" w:lineRule="exact"/>
        <w:ind w:firstLineChars="200" w:firstLine="640"/>
        <w:rPr>
          <w:rFonts w:eastAsia="黑体" w:cs="CESI仿宋-GB2312" w:hint="eastAsia"/>
          <w:bCs/>
          <w:szCs w:val="32"/>
        </w:rPr>
      </w:pPr>
      <w:r w:rsidRPr="006B2C08">
        <w:rPr>
          <w:rFonts w:eastAsia="仿宋_GB2312" w:cs="CESI仿宋-GB2312" w:hint="eastAsia"/>
          <w:bCs/>
          <w:szCs w:val="32"/>
        </w:rPr>
        <w:t>禁止占用城乡道路、桥梁、广场、地下通道及其他公共场所摆摊设点、销售或加工制作商品。临街商场、门店的经营者不得超出门窗外墙摆摊经营、作业、展示或堆放商品。</w:t>
      </w:r>
    </w:p>
    <w:p w14:paraId="506D7C3B"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第三十八条</w:t>
      </w:r>
      <w:r w:rsidRPr="006B2C08">
        <w:rPr>
          <w:rFonts w:eastAsia="仿宋_GB2312" w:cs="CESI黑体-GB2312" w:hint="eastAsia"/>
          <w:szCs w:val="32"/>
        </w:rPr>
        <w:t xml:space="preserve"> </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任何单位和个人不得在城镇道路两侧和公共场所堆放物料，因建设等原因需要临时堆放的，须经城市管理主管部门同意，并保持周围环境卫生整洁，确保公共交通安全。</w:t>
      </w:r>
    </w:p>
    <w:p w14:paraId="1343BF26" w14:textId="77777777" w:rsidR="006B2C08" w:rsidRPr="006B2C08" w:rsidRDefault="006B2C08" w:rsidP="006B2C08">
      <w:pPr>
        <w:spacing w:line="594" w:lineRule="exact"/>
        <w:ind w:firstLineChars="200" w:firstLine="640"/>
        <w:rPr>
          <w:rFonts w:eastAsia="仿宋_GB2312" w:cs="CESI仿宋-GB2312" w:hint="eastAsia"/>
          <w:bCs/>
          <w:szCs w:val="32"/>
        </w:rPr>
      </w:pPr>
      <w:r w:rsidRPr="006B2C08">
        <w:rPr>
          <w:rFonts w:eastAsia="黑体" w:cs="CESI黑体-GB2312" w:hint="eastAsia"/>
          <w:szCs w:val="32"/>
        </w:rPr>
        <w:t>第三十九条</w:t>
      </w:r>
      <w:r w:rsidRPr="006B2C08">
        <w:rPr>
          <w:rFonts w:eastAsia="仿宋_GB2312" w:cs="CESI仿宋-GB2312" w:hint="eastAsia"/>
          <w:bCs/>
          <w:szCs w:val="32"/>
        </w:rPr>
        <w:t xml:space="preserve">  </w:t>
      </w:r>
      <w:r w:rsidRPr="006B2C08">
        <w:rPr>
          <w:rFonts w:eastAsia="仿宋_GB2312" w:cs="CESI仿宋-GB2312" w:hint="eastAsia"/>
          <w:bCs/>
          <w:szCs w:val="32"/>
        </w:rPr>
        <w:t>自治县人民政府应统一规划实施夜景灯饰。</w:t>
      </w:r>
    </w:p>
    <w:p w14:paraId="2908D4DF" w14:textId="77777777" w:rsidR="006B2C08" w:rsidRPr="006B2C08" w:rsidRDefault="006B2C08" w:rsidP="006B2C08">
      <w:pPr>
        <w:spacing w:line="594" w:lineRule="exact"/>
        <w:ind w:firstLineChars="200" w:firstLine="640"/>
        <w:jc w:val="left"/>
        <w:rPr>
          <w:rFonts w:eastAsia="黑体" w:cs="CESI仿宋-GB2312" w:hint="eastAsia"/>
          <w:bCs/>
          <w:kern w:val="0"/>
          <w:szCs w:val="32"/>
        </w:rPr>
      </w:pPr>
      <w:r w:rsidRPr="006B2C08">
        <w:rPr>
          <w:rFonts w:eastAsia="仿宋_GB2312" w:cs="CESI仿宋-GB2312" w:hint="eastAsia"/>
          <w:bCs/>
          <w:kern w:val="0"/>
          <w:szCs w:val="32"/>
        </w:rPr>
        <w:t>严禁破坏公共照明和夜景设施。</w:t>
      </w:r>
    </w:p>
    <w:p w14:paraId="52DB2E1A"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lastRenderedPageBreak/>
        <w:t>第四十条</w:t>
      </w:r>
      <w:r w:rsidRPr="006B2C08">
        <w:rPr>
          <w:rFonts w:eastAsia="仿宋_GB2312" w:cs="CESI黑体-GB2312" w:hint="eastAsia"/>
          <w:szCs w:val="32"/>
        </w:rPr>
        <w:t xml:space="preserve"> </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依法保护城乡规划区内的古树名木。城市管理、林业主管部门应当建立古树名木档案，统一挂牌，依法保护。</w:t>
      </w:r>
    </w:p>
    <w:p w14:paraId="3D847309"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第四十一条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城乡建设项目应当按照规划进行配套绿化设计，配套绿化设计方案由自治县城市管理主管部门审批。建设项目配套绿化应与主体工程项目同步施工、同步验收投入使用。</w:t>
      </w:r>
    </w:p>
    <w:p w14:paraId="1D3E0713"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旧城区改造绿地率不低于百分之二十五，新城拓展区绿地率不低于百分之三十。</w:t>
      </w:r>
    </w:p>
    <w:p w14:paraId="6FA21F78"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城乡规划区内的建设项目确因条件限制绿化面积不达标的，由建设单位实施差额面积的集中绿化或按标准缴纳集中绿化建设费。</w:t>
      </w:r>
    </w:p>
    <w:p w14:paraId="399E27F2"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第四十二条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自治县城乡规划区内的园林绿地实行管护责任制。公共绿地、风景绿地、防护绿地、行道树及主次干道绿化带的绿地，由有关主管部门负责；机关、学校、企业、事业单位和部队占地范围内的绿地，由本单位负责；居民住宅小区的绿地，由小区管理单位负责；居民自有房屋地界内的绿地，由居民自行负责。</w:t>
      </w:r>
    </w:p>
    <w:p w14:paraId="036F3161"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仿宋_GB2312" w:cs="CESI仿宋-GB2312" w:hint="eastAsia"/>
          <w:szCs w:val="32"/>
          <w:shd w:val="clear" w:color="auto" w:fill="FFFFFF"/>
        </w:rPr>
        <w:t>鼓励单位和个人认养公共绿地。</w:t>
      </w:r>
    </w:p>
    <w:p w14:paraId="5BC60E22"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第四十三条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在自治县城乡规划区内禁止下列破坏绿化的行为：</w:t>
      </w:r>
    </w:p>
    <w:p w14:paraId="58191B85"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（一）在行道树下和绿化地带内焚烧物品，行道树上牵绳搭线、悬挂物品、晾晒衣物。</w:t>
      </w:r>
    </w:p>
    <w:p w14:paraId="5641B01B"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（二）占用和挖掘公共绿地、风景林地、园林绿地，砍伐和圈</w:t>
      </w:r>
      <w:r w:rsidRPr="006B2C08">
        <w:rPr>
          <w:rFonts w:eastAsia="仿宋_GB2312" w:cs="CESI仿宋-GB2312" w:hint="eastAsia"/>
          <w:szCs w:val="32"/>
          <w:shd w:val="clear" w:color="auto" w:fill="FFFFFF"/>
        </w:rPr>
        <w:lastRenderedPageBreak/>
        <w:t>围树木，在公共绿地放养家禽或宠物。</w:t>
      </w:r>
    </w:p>
    <w:p w14:paraId="310DE024"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（三）</w:t>
      </w:r>
      <w:proofErr w:type="gramStart"/>
      <w:r w:rsidRPr="006B2C08">
        <w:rPr>
          <w:rFonts w:eastAsia="仿宋_GB2312" w:cs="CESI仿宋-GB2312" w:hint="eastAsia"/>
          <w:szCs w:val="32"/>
          <w:shd w:val="clear" w:color="auto" w:fill="FFFFFF"/>
        </w:rPr>
        <w:t>刻划</w:t>
      </w:r>
      <w:proofErr w:type="gramEnd"/>
      <w:r w:rsidRPr="006B2C08">
        <w:rPr>
          <w:rFonts w:eastAsia="仿宋_GB2312" w:cs="CESI仿宋-GB2312" w:hint="eastAsia"/>
          <w:szCs w:val="32"/>
          <w:shd w:val="clear" w:color="auto" w:fill="FFFFFF"/>
        </w:rPr>
        <w:t>树木、攀折树枝、损坏花草。</w:t>
      </w:r>
    </w:p>
    <w:p w14:paraId="7C5C80DE"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（四）利用行道树、广场公园绿地搭建建筑物、构筑物。</w:t>
      </w:r>
    </w:p>
    <w:p w14:paraId="03C8C2E8"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仿宋_GB2312" w:cs="CESI仿宋-GB2312" w:hint="eastAsia"/>
          <w:szCs w:val="32"/>
          <w:shd w:val="clear" w:color="auto" w:fill="FFFFFF"/>
        </w:rPr>
        <w:t>（五）其他破坏绿化及其设施的行为。</w:t>
      </w:r>
    </w:p>
    <w:p w14:paraId="47E9F44E"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第四十四条</w:t>
      </w:r>
      <w:r w:rsidRPr="006B2C08">
        <w:rPr>
          <w:rFonts w:eastAsia="仿宋_GB2312" w:cs="CESI黑体-GB2312" w:hint="eastAsia"/>
          <w:szCs w:val="32"/>
        </w:rPr>
        <w:t xml:space="preserve">  </w:t>
      </w:r>
      <w:r w:rsidRPr="006B2C08">
        <w:rPr>
          <w:rFonts w:eastAsia="仿宋_GB2312" w:cs="CESI仿宋-GB2312" w:hint="eastAsia"/>
          <w:szCs w:val="32"/>
          <w:shd w:val="clear" w:color="auto" w:fill="FFFFFF"/>
        </w:rPr>
        <w:t>城乡建成区实行市容环境卫生责任制，分级管理。</w:t>
      </w:r>
    </w:p>
    <w:p w14:paraId="754E2CC0"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城乡公共区域的市容环境卫生由环卫机构或经营单位负责，各村、社区协同做好市容和环境卫生管理。未设置环卫机构的区域由所在乡镇人民政府负责组织管理。</w:t>
      </w:r>
    </w:p>
    <w:p w14:paraId="5317A87A"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自治县城市管理、规划自然资源主管部门应当合理设置城乡公共厕所、垃圾收集站（点）、可回收和不可回收垃圾装置等环境卫生设施。</w:t>
      </w:r>
    </w:p>
    <w:p w14:paraId="4DA72B5C"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第四十五条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任何单位和个人都有享受良好卫生环境的权利和维护市容环境卫生的义务。</w:t>
      </w:r>
    </w:p>
    <w:p w14:paraId="21373680"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建筑物临街面超出建筑物墙体不得吊挂物品。禁止在城乡建成区的树木、地面、建筑物、构筑物或其他公用设施上</w:t>
      </w:r>
      <w:proofErr w:type="gramStart"/>
      <w:r w:rsidRPr="006B2C08">
        <w:rPr>
          <w:rFonts w:eastAsia="仿宋_GB2312" w:cs="CESI仿宋-GB2312" w:hint="eastAsia"/>
          <w:kern w:val="0"/>
          <w:szCs w:val="32"/>
          <w:shd w:val="clear" w:color="auto" w:fill="FFFFFF"/>
        </w:rPr>
        <w:t>刻划</w:t>
      </w:r>
      <w:proofErr w:type="gramEnd"/>
      <w:r w:rsidRPr="006B2C08">
        <w:rPr>
          <w:rFonts w:eastAsia="仿宋_GB2312" w:cs="CESI仿宋-GB2312" w:hint="eastAsia"/>
          <w:kern w:val="0"/>
          <w:szCs w:val="32"/>
          <w:shd w:val="clear" w:color="auto" w:fill="FFFFFF"/>
        </w:rPr>
        <w:t>、涂写、张贴。禁止住户向楼体下抛洒物品。</w:t>
      </w:r>
    </w:p>
    <w:p w14:paraId="5E328A50"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第四十六条</w:t>
      </w:r>
      <w:r w:rsidRPr="006B2C08">
        <w:rPr>
          <w:rFonts w:eastAsia="仿宋_GB2312" w:cs="CESI黑体-GB2312" w:hint="eastAsia"/>
          <w:szCs w:val="32"/>
        </w:rPr>
        <w:t xml:space="preserve"> </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在县城和乡镇街道运行的车辆，应保持车容整洁。运输渣土、散体材料的车辆应当实行封闭式运输，不得</w:t>
      </w:r>
      <w:proofErr w:type="gramStart"/>
      <w:r w:rsidRPr="006B2C08">
        <w:rPr>
          <w:rFonts w:eastAsia="仿宋_GB2312" w:cs="CESI仿宋-GB2312" w:hint="eastAsia"/>
          <w:szCs w:val="32"/>
          <w:shd w:val="clear" w:color="auto" w:fill="FFFFFF"/>
        </w:rPr>
        <w:t>遗洒污染</w:t>
      </w:r>
      <w:proofErr w:type="gramEnd"/>
      <w:r w:rsidRPr="006B2C08">
        <w:rPr>
          <w:rFonts w:eastAsia="仿宋_GB2312" w:cs="CESI仿宋-GB2312" w:hint="eastAsia"/>
          <w:szCs w:val="32"/>
          <w:shd w:val="clear" w:color="auto" w:fill="FFFFFF"/>
        </w:rPr>
        <w:t>路面。</w:t>
      </w:r>
    </w:p>
    <w:p w14:paraId="53F119A5"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仿宋_GB2312" w:cs="CESI仿宋-GB2312" w:hint="eastAsia"/>
          <w:szCs w:val="32"/>
          <w:shd w:val="clear" w:color="auto" w:fill="FFFFFF"/>
        </w:rPr>
        <w:t>各种车辆应按指定位置停放，严禁乱停乱放。</w:t>
      </w:r>
    </w:p>
    <w:p w14:paraId="6371AF13"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第四十七条</w:t>
      </w:r>
      <w:r w:rsidRPr="006B2C08">
        <w:rPr>
          <w:rFonts w:eastAsia="仿宋_GB2312" w:cs="CESI黑体-GB2312" w:hint="eastAsia"/>
          <w:szCs w:val="32"/>
        </w:rPr>
        <w:t xml:space="preserve"> </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城镇规划区内的建筑施工应当实行封闭作业，</w:t>
      </w:r>
      <w:r w:rsidRPr="006B2C08">
        <w:rPr>
          <w:rFonts w:eastAsia="仿宋_GB2312" w:cs="CESI仿宋-GB2312" w:hint="eastAsia"/>
          <w:kern w:val="0"/>
          <w:szCs w:val="32"/>
          <w:shd w:val="clear" w:color="auto" w:fill="FFFFFF"/>
        </w:rPr>
        <w:lastRenderedPageBreak/>
        <w:t>施工单位应当在建设工地设置遮挡围栏，工地出口应当进行硬化处理并设置车辆冲洗设施。施工产生的垃圾、渣土应当集中堆放，及时清运到指定地点。</w:t>
      </w:r>
    </w:p>
    <w:p w14:paraId="1B564778"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第四十八条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禁止在城镇建成区内饲养家禽家畜。因教学、科研及其他特殊情况需要饲养的，依照有关规定执行。</w:t>
      </w:r>
    </w:p>
    <w:p w14:paraId="580078B8"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居民饲养宠物和信鸽应当采取管控、防疫措施，不得危及他人安全，不得影响他人生活，不得污染环境，对宠物在道路和其他公共场所排放的粪便，饲养人应当及时清除。</w:t>
      </w:r>
    </w:p>
    <w:p w14:paraId="2524188A"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第四十九条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在城乡规划区内的街道、广场、港口、车站、河道、公园、旅游景点、集贸市场等公共场所禁止下列行为：</w:t>
      </w:r>
    </w:p>
    <w:p w14:paraId="74CE3CF9"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（一）随地吐痰、便溺、扔废弃物、倒垃圾和污水。</w:t>
      </w:r>
    </w:p>
    <w:p w14:paraId="27060A4E"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（二）晾晒腐烂、腥臭的物品。</w:t>
      </w:r>
    </w:p>
    <w:p w14:paraId="2DC610E7"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（三）焚烧物品。</w:t>
      </w:r>
    </w:p>
    <w:p w14:paraId="22833B19"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仿宋_GB2312" w:cs="CESI仿宋-GB2312" w:hint="eastAsia"/>
          <w:szCs w:val="32"/>
          <w:shd w:val="clear" w:color="auto" w:fill="FFFFFF"/>
        </w:rPr>
        <w:t>（四）其他影响环境卫生的行为。</w:t>
      </w:r>
    </w:p>
    <w:p w14:paraId="1F7EE502"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第五十条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在自治县城乡规划区内的单位、家庭和个人产生的生活垃圾应当按照城市管理主管部门规定的地点和方式倒入垃圾收集容器或垃圾收集站内，生活污水应当经生化处理后排入污水管网。</w:t>
      </w:r>
    </w:p>
    <w:p w14:paraId="622436AC"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环境卫生作业单位应当加强水域环境管理，及时清运水上漂浮物和生活垃圾并规范处置。</w:t>
      </w:r>
    </w:p>
    <w:p w14:paraId="22524020"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第五十一条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凡在自治县城镇规划区范围内的生活垃圾产生者应当缴纳城镇生活垃圾处置费。城镇生活垃圾处置</w:t>
      </w:r>
      <w:proofErr w:type="gramStart"/>
      <w:r w:rsidRPr="006B2C08">
        <w:rPr>
          <w:rFonts w:eastAsia="仿宋_GB2312" w:cs="CESI仿宋-GB2312" w:hint="eastAsia"/>
          <w:kern w:val="0"/>
          <w:szCs w:val="32"/>
          <w:shd w:val="clear" w:color="auto" w:fill="FFFFFF"/>
        </w:rPr>
        <w:t>费按照</w:t>
      </w:r>
      <w:proofErr w:type="gramEnd"/>
      <w:r w:rsidRPr="006B2C08">
        <w:rPr>
          <w:rFonts w:eastAsia="仿宋_GB2312" w:cs="CESI仿宋-GB2312" w:hint="eastAsia"/>
          <w:kern w:val="0"/>
          <w:szCs w:val="32"/>
          <w:shd w:val="clear" w:color="auto" w:fill="FFFFFF"/>
        </w:rPr>
        <w:t>有关</w:t>
      </w:r>
      <w:r w:rsidRPr="006B2C08">
        <w:rPr>
          <w:rFonts w:eastAsia="仿宋_GB2312" w:cs="CESI仿宋-GB2312" w:hint="eastAsia"/>
          <w:kern w:val="0"/>
          <w:szCs w:val="32"/>
          <w:shd w:val="clear" w:color="auto" w:fill="FFFFFF"/>
        </w:rPr>
        <w:lastRenderedPageBreak/>
        <w:t>规定征收、使用和管理。</w:t>
      </w:r>
    </w:p>
    <w:p w14:paraId="4872C4B8"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第五十二条</w:t>
      </w:r>
      <w:r w:rsidRPr="006B2C08">
        <w:rPr>
          <w:rFonts w:eastAsia="仿宋_GB2312" w:cs="CESI黑体-GB2312" w:hint="eastAsia"/>
          <w:szCs w:val="32"/>
        </w:rPr>
        <w:t xml:space="preserve"> </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自治县各级人民政府应当关心从事环境卫生工作的人员，保障其合法权益，不断改善其工作条件，提高其生活待遇。</w:t>
      </w:r>
    </w:p>
    <w:p w14:paraId="75F1B06A"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第五十三条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在自治县城乡规划区内设置或悬挂广告，应当统一规划。</w:t>
      </w:r>
    </w:p>
    <w:p w14:paraId="5409D016"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仿宋_GB2312" w:cs="CESI仿宋-GB2312" w:hint="eastAsia"/>
          <w:szCs w:val="32"/>
          <w:shd w:val="clear" w:color="auto" w:fill="FFFFFF"/>
        </w:rPr>
        <w:t>机关、团体、企事业单位以及个体工商户的名称、字号、标志等牌匾的设置，应当符合城市容貌标准。户外广告、牌匾、灯箱、画廊、标语、宣传栏等户外设施的设置人应当加强设施的日常管理，保持外形美观、安全牢固及功能完好。画面污损、字体残缺、灯光显示不完整等影响市容的，应当及时维修或更换。</w:t>
      </w:r>
    </w:p>
    <w:p w14:paraId="1780C651"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黑体" w:cs="CESI黑体-GB2312" w:hint="eastAsia"/>
          <w:szCs w:val="32"/>
        </w:rPr>
        <w:t>第五十四条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在自治县城镇规划区主次干道和沿河道路的两侧不得修建不透景围墙。因施工需要并经批准临时修建的，应当在工程竣工验收前拆除。</w:t>
      </w:r>
    </w:p>
    <w:p w14:paraId="4244E199"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第五十五条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任何单位和个人不得擅自拆除、损坏公共交通站台以及沿线的候车亭和招呼站等设施。不得有在车站停放非公共交通客运车辆、设置摊点、堆放物品等影响公共交通客运服务设施使用安全的行为。</w:t>
      </w:r>
    </w:p>
    <w:p w14:paraId="678F920E"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第五十六条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自治县人民政府依据国家规定标准建立城乡居民饮用水水源保护区。</w:t>
      </w:r>
    </w:p>
    <w:p w14:paraId="09E31D5F"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禁止在划定的保护区内从事致使水源枯竭和污染水体的活动。</w:t>
      </w:r>
    </w:p>
    <w:p w14:paraId="68EA89C5"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仿宋_GB2312" w:cs="CESI仿宋-GB2312" w:hint="eastAsia"/>
          <w:szCs w:val="32"/>
          <w:shd w:val="clear" w:color="auto" w:fill="FFFFFF"/>
        </w:rPr>
        <w:t>鼓励有条件的村、组实行集中安全供水。</w:t>
      </w:r>
    </w:p>
    <w:p w14:paraId="08B4369E"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lastRenderedPageBreak/>
        <w:t>第五十七条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自治县人民政府应当在城乡规划区内合理确定殡葬区域，规范悼念场所。坚持保护生态环境和节约土地资源，规划和建设公墓。</w:t>
      </w:r>
    </w:p>
    <w:p w14:paraId="049FFC08"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禁止在城乡规划区内乱埋乱葬。</w:t>
      </w:r>
    </w:p>
    <w:p w14:paraId="08946DF7"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黑体" w:cs="CESI黑体-GB2312" w:hint="eastAsia"/>
          <w:szCs w:val="32"/>
        </w:rPr>
        <w:t>第五十八条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未经有关部门批准，禁止在自治县城乡规划区内擅自进行挖沙、取土、开山、采石等改变地形地貌的活动。</w:t>
      </w:r>
    </w:p>
    <w:p w14:paraId="414B52E7"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黑体" w:cs="CESI黑体-GB2312" w:hint="eastAsia"/>
          <w:szCs w:val="32"/>
        </w:rPr>
        <w:t>第五十九条</w:t>
      </w:r>
      <w:r w:rsidRPr="006B2C08">
        <w:rPr>
          <w:rFonts w:eastAsia="仿宋_GB2312" w:cs="CESI黑体-GB2312" w:hint="eastAsia"/>
          <w:szCs w:val="32"/>
        </w:rPr>
        <w:t xml:space="preserve"> </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任何单位或个人不得擅自拆除名胜古迹和传统民居，确因建设需要拆除的，必须举行听证会并予以公告，同时，按照修旧如旧的原则异地迁建。</w:t>
      </w:r>
    </w:p>
    <w:p w14:paraId="01B84E46"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第六十条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在自治县城镇规划区内，未经有关部门批准，禁止任何单位和个人在禁放区内燃放烟花爆竹。</w:t>
      </w:r>
    </w:p>
    <w:p w14:paraId="169F8B8E"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未经报批许可的建筑施工单位和个人，在晚</w:t>
      </w:r>
      <w:r w:rsidRPr="006B2C08">
        <w:rPr>
          <w:rFonts w:eastAsia="仿宋_GB2312" w:hint="eastAsia"/>
          <w:szCs w:val="32"/>
          <w:shd w:val="clear" w:color="auto" w:fill="FFFFFF"/>
        </w:rPr>
        <w:t>22</w:t>
      </w:r>
      <w:r w:rsidRPr="006B2C08">
        <w:rPr>
          <w:rFonts w:eastAsia="仿宋_GB2312" w:cs="CESI仿宋-GB2312" w:hint="eastAsia"/>
          <w:szCs w:val="32"/>
          <w:shd w:val="clear" w:color="auto" w:fill="FFFFFF"/>
        </w:rPr>
        <w:t>点至次日晨</w:t>
      </w:r>
      <w:r w:rsidRPr="006B2C08">
        <w:rPr>
          <w:rFonts w:eastAsia="仿宋_GB2312" w:hint="eastAsia"/>
          <w:szCs w:val="32"/>
          <w:shd w:val="clear" w:color="auto" w:fill="FFFFFF"/>
        </w:rPr>
        <w:t>6</w:t>
      </w:r>
      <w:r w:rsidRPr="006B2C08">
        <w:rPr>
          <w:rFonts w:eastAsia="仿宋_GB2312" w:cs="CESI仿宋-GB2312" w:hint="eastAsia"/>
          <w:szCs w:val="32"/>
          <w:shd w:val="clear" w:color="auto" w:fill="FFFFFF"/>
        </w:rPr>
        <w:t>点，不得进行施工作业。</w:t>
      </w:r>
    </w:p>
    <w:p w14:paraId="01B97BF1"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入城的机动车辆在禁鸣路段不得鸣号。</w:t>
      </w:r>
    </w:p>
    <w:p w14:paraId="43D47D41"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仿宋_GB2312" w:cs="CESI仿宋-GB2312" w:hint="eastAsia"/>
          <w:szCs w:val="32"/>
          <w:shd w:val="clear" w:color="auto" w:fill="FFFFFF"/>
        </w:rPr>
        <w:t>商业经营活动、家庭娱乐、悼念活动等排放噪声不得影响生活环境或危害居民健康。</w:t>
      </w:r>
    </w:p>
    <w:p w14:paraId="49D60300" w14:textId="77777777" w:rsidR="006B2C08" w:rsidRPr="006B2C08" w:rsidRDefault="006B2C08" w:rsidP="006B2C08">
      <w:pPr>
        <w:pStyle w:val="4"/>
        <w:spacing w:before="0" w:line="594" w:lineRule="exact"/>
        <w:rPr>
          <w:rFonts w:eastAsia="黑体" w:hint="eastAsia"/>
          <w:sz w:val="32"/>
        </w:rPr>
      </w:pPr>
    </w:p>
    <w:p w14:paraId="323E066B" w14:textId="77777777" w:rsidR="006B2C08" w:rsidRPr="006B2C08" w:rsidRDefault="006B2C08" w:rsidP="006B2C08">
      <w:pPr>
        <w:adjustRightInd w:val="0"/>
        <w:snapToGrid w:val="0"/>
        <w:spacing w:line="594" w:lineRule="exact"/>
        <w:jc w:val="center"/>
        <w:rPr>
          <w:rFonts w:eastAsia="黑体" w:cs="CESI黑体-GB2312" w:hint="eastAsia"/>
          <w:szCs w:val="32"/>
        </w:rPr>
      </w:pPr>
      <w:r w:rsidRPr="006B2C08">
        <w:rPr>
          <w:rFonts w:eastAsia="黑体" w:cs="CESI黑体-GB2312" w:hint="eastAsia"/>
          <w:szCs w:val="32"/>
        </w:rPr>
        <w:t>第五章</w:t>
      </w:r>
      <w:r w:rsidRPr="006B2C08">
        <w:rPr>
          <w:rFonts w:eastAsia="黑体" w:cs="CESI黑体-GB2312" w:hint="eastAsia"/>
          <w:szCs w:val="32"/>
        </w:rPr>
        <w:t xml:space="preserve">  </w:t>
      </w:r>
      <w:r w:rsidRPr="006B2C08">
        <w:rPr>
          <w:rFonts w:eastAsia="黑体" w:cs="CESI黑体-GB2312" w:hint="eastAsia"/>
          <w:szCs w:val="32"/>
        </w:rPr>
        <w:t>法律责任</w:t>
      </w:r>
    </w:p>
    <w:p w14:paraId="10891489" w14:textId="77777777" w:rsidR="006B2C08" w:rsidRPr="006B2C08" w:rsidRDefault="006B2C08" w:rsidP="006B2C08">
      <w:pPr>
        <w:snapToGrid w:val="0"/>
        <w:spacing w:line="594" w:lineRule="exact"/>
        <w:ind w:firstLineChars="200" w:firstLine="640"/>
        <w:rPr>
          <w:rFonts w:eastAsia="黑体" w:cs="CESI黑体-GB2312" w:hint="eastAsia"/>
          <w:szCs w:val="32"/>
        </w:rPr>
      </w:pPr>
    </w:p>
    <w:p w14:paraId="75E58131"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黑体" w:cs="CESI黑体-GB2312" w:hint="eastAsia"/>
          <w:szCs w:val="32"/>
        </w:rPr>
        <w:t>第六十一条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违反本条例第十四条第三款规定的，由乡镇人民政府责令停止建设；尚可采取改正措施消除对规划实施影响的，限期改正；逾期不改正或无法采取改正措施消除影响的，可以强</w:t>
      </w:r>
      <w:r w:rsidRPr="006B2C08">
        <w:rPr>
          <w:rFonts w:eastAsia="仿宋_GB2312" w:cs="CESI仿宋-GB2312" w:hint="eastAsia"/>
          <w:szCs w:val="32"/>
          <w:shd w:val="clear" w:color="auto" w:fill="FFFFFF"/>
        </w:rPr>
        <w:lastRenderedPageBreak/>
        <w:t>制拆除。</w:t>
      </w:r>
    </w:p>
    <w:p w14:paraId="009A2233" w14:textId="77777777" w:rsidR="006B2C08" w:rsidRPr="006B2C08" w:rsidRDefault="006B2C08" w:rsidP="006B2C08">
      <w:pPr>
        <w:snapToGrid w:val="0"/>
        <w:spacing w:line="594" w:lineRule="exact"/>
        <w:ind w:firstLineChars="200" w:firstLine="640"/>
        <w:rPr>
          <w:rFonts w:eastAsia="黑体" w:cs="CESI仿宋-GB2312" w:hint="eastAsia"/>
          <w:szCs w:val="32"/>
          <w:shd w:val="clear" w:color="auto" w:fill="FFFFFF"/>
        </w:rPr>
      </w:pPr>
      <w:r w:rsidRPr="006B2C08">
        <w:rPr>
          <w:rFonts w:eastAsia="黑体" w:cs="CESI黑体-GB2312" w:hint="eastAsia"/>
          <w:szCs w:val="32"/>
        </w:rPr>
        <w:t>第六十二条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规划自然资源主管部门</w:t>
      </w:r>
      <w:proofErr w:type="gramStart"/>
      <w:r w:rsidRPr="006B2C08">
        <w:rPr>
          <w:rFonts w:eastAsia="仿宋_GB2312" w:cs="CESI仿宋-GB2312" w:hint="eastAsia"/>
          <w:szCs w:val="32"/>
          <w:shd w:val="clear" w:color="auto" w:fill="FFFFFF"/>
        </w:rPr>
        <w:t>作出</w:t>
      </w:r>
      <w:proofErr w:type="gramEnd"/>
      <w:r w:rsidRPr="006B2C08">
        <w:rPr>
          <w:rFonts w:eastAsia="仿宋_GB2312" w:cs="CESI仿宋-GB2312" w:hint="eastAsia"/>
          <w:szCs w:val="32"/>
          <w:shd w:val="clear" w:color="auto" w:fill="FFFFFF"/>
        </w:rPr>
        <w:t>责令停止建设或者限期拆除的决定后，当事人不停止建设或者逾期不拆除的，自治县人民政府可以责成有关部门采取查封施工现场、强制拆除等措施。</w:t>
      </w:r>
    </w:p>
    <w:p w14:paraId="341EB97F"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第六十三条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村民委员会负责人在组织实施村规划建设和管理中，擅自改变规划内容、弄虚作假、徇私舞弊、乱批乱建的，由乡镇人民政府责令改正，并予以批评教育；情节严重的，由村民会议依法予以罢免；构成犯罪的，依法追究刑事责任。</w:t>
      </w:r>
    </w:p>
    <w:p w14:paraId="19BF151B"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第六十四条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有关主管部门和乡镇人民政府在城乡规划、建设和管理中行政不作为或行政乱作为，造成重大经济损失或严重影响规划实施的，由自治县人民政府依法启动行政问责。</w:t>
      </w:r>
    </w:p>
    <w:p w14:paraId="5299753A"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仿宋_GB2312" w:cs="CESI仿宋-GB2312" w:hint="eastAsia"/>
          <w:kern w:val="0"/>
          <w:szCs w:val="32"/>
          <w:shd w:val="clear" w:color="auto" w:fill="FFFFFF"/>
        </w:rPr>
        <w:t>自治县国家机关工作人员在城乡规划建设管理工作中玩忽职守、滥用职权、徇私舞弊的，由所在单位、上级行政主管部门或行政监察机关给予行政处分；造成损失的，依法承担赔偿责任；构成犯罪的，依法追究刑事责任。</w:t>
      </w:r>
    </w:p>
    <w:p w14:paraId="64330E0B"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第六十五条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按照本条例规定</w:t>
      </w:r>
      <w:proofErr w:type="gramStart"/>
      <w:r w:rsidRPr="006B2C08">
        <w:rPr>
          <w:rFonts w:eastAsia="仿宋_GB2312" w:cs="CESI仿宋-GB2312" w:hint="eastAsia"/>
          <w:kern w:val="0"/>
          <w:szCs w:val="32"/>
          <w:shd w:val="clear" w:color="auto" w:fill="FFFFFF"/>
        </w:rPr>
        <w:t>作出</w:t>
      </w:r>
      <w:proofErr w:type="gramEnd"/>
      <w:r w:rsidRPr="006B2C08">
        <w:rPr>
          <w:rFonts w:eastAsia="仿宋_GB2312" w:cs="CESI仿宋-GB2312" w:hint="eastAsia"/>
          <w:kern w:val="0"/>
          <w:szCs w:val="32"/>
          <w:shd w:val="clear" w:color="auto" w:fill="FFFFFF"/>
        </w:rPr>
        <w:t>处罚决定前应当告知当事人听证权利的，依照有关法律法规执行。</w:t>
      </w:r>
    </w:p>
    <w:p w14:paraId="15AEA799"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第六十六条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当事人对依照本条例</w:t>
      </w:r>
      <w:proofErr w:type="gramStart"/>
      <w:r w:rsidRPr="006B2C08">
        <w:rPr>
          <w:rFonts w:eastAsia="仿宋_GB2312" w:cs="CESI仿宋-GB2312" w:hint="eastAsia"/>
          <w:kern w:val="0"/>
          <w:szCs w:val="32"/>
          <w:shd w:val="clear" w:color="auto" w:fill="FFFFFF"/>
        </w:rPr>
        <w:t>作出</w:t>
      </w:r>
      <w:proofErr w:type="gramEnd"/>
      <w:r w:rsidRPr="006B2C08">
        <w:rPr>
          <w:rFonts w:eastAsia="仿宋_GB2312" w:cs="CESI仿宋-GB2312" w:hint="eastAsia"/>
          <w:kern w:val="0"/>
          <w:szCs w:val="32"/>
          <w:shd w:val="clear" w:color="auto" w:fill="FFFFFF"/>
        </w:rPr>
        <w:t>的具体行政行为不服的，有权在规定的时间内申请行政复议或提起行政诉讼，逾期不申请复议、不提起诉讼又不履行具体行政行为所确定义务的，由</w:t>
      </w:r>
      <w:proofErr w:type="gramStart"/>
      <w:r w:rsidRPr="006B2C08">
        <w:rPr>
          <w:rFonts w:eastAsia="仿宋_GB2312" w:cs="CESI仿宋-GB2312" w:hint="eastAsia"/>
          <w:kern w:val="0"/>
          <w:szCs w:val="32"/>
          <w:shd w:val="clear" w:color="auto" w:fill="FFFFFF"/>
        </w:rPr>
        <w:t>作出</w:t>
      </w:r>
      <w:proofErr w:type="gramEnd"/>
      <w:r w:rsidRPr="006B2C08">
        <w:rPr>
          <w:rFonts w:eastAsia="仿宋_GB2312" w:cs="CESI仿宋-GB2312" w:hint="eastAsia"/>
          <w:kern w:val="0"/>
          <w:szCs w:val="32"/>
          <w:shd w:val="clear" w:color="auto" w:fill="FFFFFF"/>
        </w:rPr>
        <w:t>具体行政行为的机关依法强制执行或申请人民法院强制执</w:t>
      </w:r>
      <w:r w:rsidRPr="006B2C08">
        <w:rPr>
          <w:rFonts w:eastAsia="仿宋_GB2312" w:cs="CESI仿宋-GB2312" w:hint="eastAsia"/>
          <w:kern w:val="0"/>
          <w:szCs w:val="32"/>
          <w:shd w:val="clear" w:color="auto" w:fill="FFFFFF"/>
        </w:rPr>
        <w:lastRenderedPageBreak/>
        <w:t>行。</w:t>
      </w:r>
    </w:p>
    <w:p w14:paraId="686045C3" w14:textId="77777777" w:rsidR="006B2C08" w:rsidRPr="006B2C08" w:rsidRDefault="006B2C08" w:rsidP="006B2C08">
      <w:pPr>
        <w:snapToGrid w:val="0"/>
        <w:spacing w:line="594" w:lineRule="exact"/>
        <w:ind w:firstLineChars="200" w:firstLine="640"/>
        <w:rPr>
          <w:rFonts w:eastAsia="仿宋_GB2312" w:cs="CESI仿宋-GB2312" w:hint="eastAsia"/>
          <w:szCs w:val="32"/>
          <w:shd w:val="clear" w:color="auto" w:fill="FFFFFF"/>
        </w:rPr>
      </w:pPr>
      <w:r w:rsidRPr="006B2C08">
        <w:rPr>
          <w:rFonts w:eastAsia="黑体" w:cs="CESI黑体-GB2312" w:hint="eastAsia"/>
          <w:szCs w:val="32"/>
        </w:rPr>
        <w:t>第六十七条</w:t>
      </w:r>
      <w:r w:rsidRPr="006B2C08">
        <w:rPr>
          <w:rFonts w:eastAsia="仿宋_GB2312" w:cs="CESI仿宋-GB2312" w:hint="eastAsia"/>
          <w:szCs w:val="32"/>
          <w:shd w:val="clear" w:color="auto" w:fill="FFFFFF"/>
        </w:rPr>
        <w:t xml:space="preserve">  </w:t>
      </w:r>
      <w:r w:rsidRPr="006B2C08">
        <w:rPr>
          <w:rFonts w:eastAsia="仿宋_GB2312" w:cs="CESI仿宋-GB2312" w:hint="eastAsia"/>
          <w:szCs w:val="32"/>
          <w:shd w:val="clear" w:color="auto" w:fill="FFFFFF"/>
        </w:rPr>
        <w:t>对违反本条例的行为，本条例未作规定的，依照有关法律、法规处罚。</w:t>
      </w:r>
    </w:p>
    <w:p w14:paraId="506137FC" w14:textId="77777777" w:rsidR="006B2C08" w:rsidRPr="006B2C08" w:rsidRDefault="006B2C08" w:rsidP="006B2C08">
      <w:pPr>
        <w:pStyle w:val="4"/>
        <w:spacing w:before="0" w:line="594" w:lineRule="exact"/>
        <w:rPr>
          <w:rFonts w:eastAsia="黑体" w:hint="eastAsia"/>
          <w:sz w:val="32"/>
        </w:rPr>
      </w:pPr>
    </w:p>
    <w:p w14:paraId="3CAD98D6" w14:textId="77777777" w:rsidR="006B2C08" w:rsidRPr="006B2C08" w:rsidRDefault="006B2C08" w:rsidP="006B2C08">
      <w:pPr>
        <w:adjustRightInd w:val="0"/>
        <w:snapToGrid w:val="0"/>
        <w:spacing w:line="594" w:lineRule="exact"/>
        <w:jc w:val="center"/>
        <w:rPr>
          <w:rFonts w:eastAsia="黑体" w:cs="CESI黑体-GB2312" w:hint="eastAsia"/>
          <w:szCs w:val="32"/>
        </w:rPr>
      </w:pPr>
      <w:r w:rsidRPr="006B2C08">
        <w:rPr>
          <w:rFonts w:eastAsia="黑体" w:cs="CESI黑体-GB2312" w:hint="eastAsia"/>
          <w:szCs w:val="32"/>
        </w:rPr>
        <w:t>第六章</w:t>
      </w:r>
      <w:r w:rsidRPr="006B2C08">
        <w:rPr>
          <w:rFonts w:eastAsia="黑体" w:cs="CESI黑体-GB2312" w:hint="eastAsia"/>
          <w:szCs w:val="32"/>
        </w:rPr>
        <w:t xml:space="preserve">  </w:t>
      </w:r>
      <w:r w:rsidRPr="006B2C08">
        <w:rPr>
          <w:rFonts w:eastAsia="黑体" w:cs="CESI黑体-GB2312" w:hint="eastAsia"/>
          <w:szCs w:val="32"/>
        </w:rPr>
        <w:t>附</w:t>
      </w:r>
      <w:r w:rsidRPr="006B2C08">
        <w:rPr>
          <w:rFonts w:eastAsia="黑体" w:cs="CESI黑体-GB2312" w:hint="eastAsia"/>
          <w:szCs w:val="32"/>
        </w:rPr>
        <w:t xml:space="preserve">  </w:t>
      </w:r>
      <w:r w:rsidRPr="006B2C08">
        <w:rPr>
          <w:rFonts w:eastAsia="黑体" w:cs="CESI黑体-GB2312" w:hint="eastAsia"/>
          <w:szCs w:val="32"/>
        </w:rPr>
        <w:t>则</w:t>
      </w:r>
    </w:p>
    <w:p w14:paraId="6ACD1EDC" w14:textId="77777777" w:rsidR="006B2C08" w:rsidRPr="006B2C08" w:rsidRDefault="006B2C08" w:rsidP="006B2C08">
      <w:pPr>
        <w:spacing w:line="594" w:lineRule="exact"/>
        <w:ind w:firstLineChars="200" w:firstLine="640"/>
        <w:jc w:val="left"/>
        <w:rPr>
          <w:rFonts w:eastAsia="黑体" w:cs="CESI黑体-GB2312" w:hint="eastAsia"/>
          <w:szCs w:val="32"/>
        </w:rPr>
      </w:pPr>
    </w:p>
    <w:p w14:paraId="5A25C4F2"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第六十八条</w:t>
      </w:r>
      <w:r w:rsidRPr="006B2C08">
        <w:rPr>
          <w:rFonts w:eastAsia="仿宋_GB2312" w:cs="CESI黑体-GB2312" w:hint="eastAsia"/>
          <w:szCs w:val="32"/>
        </w:rPr>
        <w:t xml:space="preserve"> </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自治县人民政府根据本条例制定实施细则。</w:t>
      </w:r>
    </w:p>
    <w:p w14:paraId="76016ED3" w14:textId="77777777" w:rsidR="006B2C08" w:rsidRPr="006B2C08" w:rsidRDefault="006B2C08" w:rsidP="006B2C08">
      <w:pPr>
        <w:spacing w:line="594" w:lineRule="exact"/>
        <w:ind w:firstLineChars="200" w:firstLine="640"/>
        <w:jc w:val="left"/>
        <w:rPr>
          <w:rFonts w:eastAsia="黑体" w:cs="CESI仿宋-GB2312" w:hint="eastAsia"/>
          <w:kern w:val="0"/>
          <w:szCs w:val="32"/>
          <w:shd w:val="clear" w:color="auto" w:fill="FFFFFF"/>
        </w:rPr>
      </w:pPr>
      <w:r w:rsidRPr="006B2C08">
        <w:rPr>
          <w:rFonts w:eastAsia="黑体" w:cs="CESI黑体-GB2312" w:hint="eastAsia"/>
          <w:szCs w:val="32"/>
        </w:rPr>
        <w:t>第六十九条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本条例由自治县人民代表大会常务委员会负责解释。</w:t>
      </w:r>
    </w:p>
    <w:p w14:paraId="3005789C" w14:textId="77777777" w:rsidR="006B2C08" w:rsidRPr="006B2C08" w:rsidRDefault="006B2C08" w:rsidP="006B2C08">
      <w:pPr>
        <w:spacing w:line="594" w:lineRule="exact"/>
        <w:ind w:firstLineChars="200" w:firstLine="640"/>
        <w:jc w:val="left"/>
        <w:rPr>
          <w:rFonts w:eastAsia="仿宋_GB2312" w:cs="CESI仿宋-GB2312" w:hint="eastAsia"/>
          <w:kern w:val="0"/>
          <w:szCs w:val="32"/>
          <w:shd w:val="clear" w:color="auto" w:fill="FFFFFF"/>
        </w:rPr>
      </w:pPr>
      <w:r w:rsidRPr="006B2C08">
        <w:rPr>
          <w:rFonts w:eastAsia="黑体" w:cs="CESI黑体-GB2312" w:hint="eastAsia"/>
          <w:szCs w:val="32"/>
        </w:rPr>
        <w:t>第七十条</w:t>
      </w:r>
      <w:r w:rsidRPr="006B2C08">
        <w:rPr>
          <w:rFonts w:eastAsia="仿宋_GB2312" w:cs="CESI仿宋-GB2312" w:hint="eastAsia"/>
          <w:kern w:val="0"/>
          <w:szCs w:val="32"/>
          <w:shd w:val="clear" w:color="auto" w:fill="FFFFFF"/>
        </w:rPr>
        <w:t xml:space="preserve">  </w:t>
      </w:r>
      <w:r w:rsidRPr="006B2C08">
        <w:rPr>
          <w:rFonts w:eastAsia="仿宋_GB2312" w:cs="CESI仿宋-GB2312" w:hint="eastAsia"/>
          <w:kern w:val="0"/>
          <w:szCs w:val="32"/>
          <w:shd w:val="clear" w:color="auto" w:fill="FFFFFF"/>
        </w:rPr>
        <w:t>本条例自</w:t>
      </w:r>
      <w:r w:rsidRPr="006B2C08">
        <w:rPr>
          <w:rFonts w:eastAsia="仿宋_GB2312" w:hint="eastAsia"/>
          <w:kern w:val="0"/>
          <w:szCs w:val="32"/>
          <w:shd w:val="clear" w:color="auto" w:fill="FFFFFF"/>
        </w:rPr>
        <w:t>2011</w:t>
      </w:r>
      <w:r w:rsidRPr="006B2C08">
        <w:rPr>
          <w:rFonts w:eastAsia="仿宋_GB2312" w:cs="CESI仿宋-GB2312" w:hint="eastAsia"/>
          <w:kern w:val="0"/>
          <w:szCs w:val="32"/>
          <w:shd w:val="clear" w:color="auto" w:fill="FFFFFF"/>
        </w:rPr>
        <w:t>年</w:t>
      </w:r>
      <w:r w:rsidRPr="006B2C08">
        <w:rPr>
          <w:rFonts w:eastAsia="仿宋_GB2312" w:hint="eastAsia"/>
          <w:kern w:val="0"/>
          <w:szCs w:val="32"/>
          <w:shd w:val="clear" w:color="auto" w:fill="FFFFFF"/>
        </w:rPr>
        <w:t>10</w:t>
      </w:r>
      <w:r w:rsidRPr="006B2C08">
        <w:rPr>
          <w:rFonts w:eastAsia="仿宋_GB2312" w:cs="CESI仿宋-GB2312" w:hint="eastAsia"/>
          <w:kern w:val="0"/>
          <w:szCs w:val="32"/>
          <w:shd w:val="clear" w:color="auto" w:fill="FFFFFF"/>
        </w:rPr>
        <w:t>月</w:t>
      </w:r>
      <w:r w:rsidRPr="006B2C08">
        <w:rPr>
          <w:rFonts w:eastAsia="仿宋_GB2312" w:hint="eastAsia"/>
          <w:kern w:val="0"/>
          <w:szCs w:val="32"/>
          <w:shd w:val="clear" w:color="auto" w:fill="FFFFFF"/>
        </w:rPr>
        <w:t>1</w:t>
      </w:r>
      <w:r w:rsidRPr="006B2C08">
        <w:rPr>
          <w:rFonts w:eastAsia="仿宋_GB2312" w:cs="CESI仿宋-GB2312" w:hint="eastAsia"/>
          <w:kern w:val="0"/>
          <w:szCs w:val="32"/>
          <w:shd w:val="clear" w:color="auto" w:fill="FFFFFF"/>
        </w:rPr>
        <w:t>日起施行。</w:t>
      </w:r>
    </w:p>
    <w:p w14:paraId="5CF0B822" w14:textId="77777777" w:rsidR="006B2C08" w:rsidRPr="006B2C08" w:rsidRDefault="006B2C08" w:rsidP="006B2C08">
      <w:pPr>
        <w:spacing w:line="594" w:lineRule="exact"/>
        <w:ind w:firstLineChars="200" w:firstLine="640"/>
        <w:jc w:val="left"/>
        <w:rPr>
          <w:rFonts w:eastAsia="仿宋_GB2312" w:cs="CESI仿宋-GB2312" w:hint="eastAsia"/>
          <w:kern w:val="0"/>
          <w:szCs w:val="32"/>
          <w:shd w:val="clear" w:color="auto" w:fill="FFFFFF"/>
        </w:rPr>
      </w:pPr>
      <w:r w:rsidRPr="006B2C08">
        <w:rPr>
          <w:rFonts w:eastAsia="仿宋_GB2312" w:hint="eastAsia"/>
          <w:kern w:val="0"/>
          <w:szCs w:val="32"/>
          <w:shd w:val="clear" w:color="auto" w:fill="FFFFFF"/>
        </w:rPr>
        <w:t>1998</w:t>
      </w:r>
      <w:r w:rsidRPr="006B2C08">
        <w:rPr>
          <w:rFonts w:eastAsia="仿宋_GB2312" w:cs="CESI仿宋-GB2312" w:hint="eastAsia"/>
          <w:kern w:val="0"/>
          <w:szCs w:val="32"/>
          <w:shd w:val="clear" w:color="auto" w:fill="FFFFFF"/>
        </w:rPr>
        <w:t>年</w:t>
      </w:r>
      <w:r w:rsidRPr="006B2C08">
        <w:rPr>
          <w:rFonts w:eastAsia="仿宋_GB2312" w:hint="eastAsia"/>
          <w:kern w:val="0"/>
          <w:szCs w:val="32"/>
          <w:shd w:val="clear" w:color="auto" w:fill="FFFFFF"/>
        </w:rPr>
        <w:t>5</w:t>
      </w:r>
      <w:r w:rsidRPr="006B2C08">
        <w:rPr>
          <w:rFonts w:eastAsia="仿宋_GB2312" w:cs="CESI仿宋-GB2312" w:hint="eastAsia"/>
          <w:kern w:val="0"/>
          <w:szCs w:val="32"/>
          <w:shd w:val="clear" w:color="auto" w:fill="FFFFFF"/>
        </w:rPr>
        <w:t>月</w:t>
      </w:r>
      <w:r w:rsidRPr="006B2C08">
        <w:rPr>
          <w:rFonts w:eastAsia="仿宋_GB2312" w:hint="eastAsia"/>
          <w:kern w:val="0"/>
          <w:szCs w:val="32"/>
          <w:shd w:val="clear" w:color="auto" w:fill="FFFFFF"/>
        </w:rPr>
        <w:t>22</w:t>
      </w:r>
      <w:r w:rsidRPr="006B2C08">
        <w:rPr>
          <w:rFonts w:eastAsia="仿宋_GB2312" w:cs="CESI仿宋-GB2312" w:hint="eastAsia"/>
          <w:kern w:val="0"/>
          <w:szCs w:val="32"/>
          <w:shd w:val="clear" w:color="auto" w:fill="FFFFFF"/>
        </w:rPr>
        <w:t>日由彭水自治县第十三届人大常委会第三次会议通过的《彭水苗族土家族自治县城市规划管理实施办法》同时废止。</w:t>
      </w:r>
    </w:p>
    <w:p w14:paraId="5F63BC1A" w14:textId="77777777" w:rsidR="00BB1890" w:rsidRPr="006B2C08" w:rsidRDefault="00BB1890" w:rsidP="006B2C08">
      <w:pPr>
        <w:spacing w:line="594" w:lineRule="exact"/>
        <w:rPr>
          <w:rFonts w:eastAsia="仿宋_GB2312" w:hint="eastAsia"/>
          <w:szCs w:val="32"/>
        </w:rPr>
      </w:pPr>
    </w:p>
    <w:sectPr w:rsidR="00BB1890" w:rsidRPr="006B2C08" w:rsidSect="006B2C08">
      <w:footerReference w:type="even" r:id="rId8"/>
      <w:footerReference w:type="default" r:id="rId9"/>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389F" w14:textId="77777777" w:rsidR="00E66305" w:rsidRDefault="00E66305" w:rsidP="006B2C08">
      <w:r>
        <w:separator/>
      </w:r>
    </w:p>
  </w:endnote>
  <w:endnote w:type="continuationSeparator" w:id="0">
    <w:p w14:paraId="5603944E" w14:textId="77777777" w:rsidR="00E66305" w:rsidRDefault="00E66305" w:rsidP="006B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CESI黑体-GB2312">
    <w:altName w:val="微软雅黑"/>
    <w:charset w:val="86"/>
    <w:family w:val="auto"/>
    <w:pitch w:val="default"/>
    <w:sig w:usb0="800002BF" w:usb1="184F6CF8" w:usb2="00000012" w:usb3="00000000" w:csb0="0004000F" w:csb1="00000000"/>
  </w:font>
  <w:font w:name="楷体_GB2312">
    <w:panose1 w:val="02010609030101010101"/>
    <w:charset w:val="86"/>
    <w:family w:val="modern"/>
    <w:pitch w:val="fixed"/>
    <w:sig w:usb0="00000001" w:usb1="080E0000" w:usb2="00000010" w:usb3="00000000" w:csb0="00040000" w:csb1="00000000"/>
  </w:font>
  <w:font w:name="CESI楷体-GB2312">
    <w:altName w:val="微软雅黑"/>
    <w:charset w:val="86"/>
    <w:family w:val="auto"/>
    <w:pitch w:val="default"/>
    <w:sig w:usb0="800002BF" w:usb1="184F6CF8" w:usb2="00000012" w:usb3="00000000" w:csb0="0004000F" w:csb1="00000000"/>
  </w:font>
  <w:font w:name="CESI仿宋-GB2312">
    <w:altName w:val="微软雅黑"/>
    <w:charset w:val="86"/>
    <w:family w:val="auto"/>
    <w:pitch w:val="default"/>
    <w:sig w:usb0="800002AF" w:usb1="084F6CF8"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D6FD" w14:textId="651F5467" w:rsidR="006B2C08" w:rsidRPr="006B2C08" w:rsidRDefault="006B2C08" w:rsidP="006B2C08">
    <w:pPr>
      <w:pStyle w:val="a5"/>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C32B" w14:textId="0136C54E" w:rsidR="006B2C08" w:rsidRPr="006B2C08" w:rsidRDefault="006B2C08" w:rsidP="006B2C08">
    <w:pPr>
      <w:pStyle w:val="a5"/>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E914" w14:textId="77777777" w:rsidR="00E66305" w:rsidRDefault="00E66305" w:rsidP="006B2C08">
      <w:r>
        <w:separator/>
      </w:r>
    </w:p>
  </w:footnote>
  <w:footnote w:type="continuationSeparator" w:id="0">
    <w:p w14:paraId="26FC528F" w14:textId="77777777" w:rsidR="00E66305" w:rsidRDefault="00E66305" w:rsidP="006B2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0E"/>
    <w:rsid w:val="0033390E"/>
    <w:rsid w:val="006B2C08"/>
    <w:rsid w:val="006B6560"/>
    <w:rsid w:val="00B1718E"/>
    <w:rsid w:val="00BB1890"/>
    <w:rsid w:val="00E66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1E023"/>
  <w15:chartTrackingRefBased/>
  <w15:docId w15:val="{5F7F6B97-43A2-488D-907D-322AF27C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6B2C08"/>
    <w:pPr>
      <w:widowControl w:val="0"/>
      <w:jc w:val="both"/>
    </w:pPr>
    <w:rPr>
      <w:rFonts w:ascii="Times New Roman" w:eastAsia="宋体" w:hAnsi="Times New Roman" w:cs="Times New Roman"/>
      <w:sz w:val="32"/>
      <w:szCs w:val="24"/>
    </w:rPr>
  </w:style>
  <w:style w:type="paragraph" w:styleId="4">
    <w:name w:val="heading 4"/>
    <w:basedOn w:val="a"/>
    <w:next w:val="a"/>
    <w:link w:val="40"/>
    <w:uiPriority w:val="1"/>
    <w:qFormat/>
    <w:rsid w:val="006B2C08"/>
    <w:pPr>
      <w:spacing w:before="214"/>
      <w:jc w:val="center"/>
      <w:outlineLvl w:val="3"/>
    </w:pPr>
    <w:rPr>
      <w:rFonts w:eastAsia="方正黑体_GBK"/>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C08"/>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B2C08"/>
    <w:rPr>
      <w:sz w:val="18"/>
      <w:szCs w:val="18"/>
    </w:rPr>
  </w:style>
  <w:style w:type="paragraph" w:styleId="a5">
    <w:name w:val="footer"/>
    <w:basedOn w:val="a"/>
    <w:link w:val="a6"/>
    <w:uiPriority w:val="99"/>
    <w:unhideWhenUsed/>
    <w:rsid w:val="006B2C0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B2C08"/>
    <w:rPr>
      <w:sz w:val="18"/>
      <w:szCs w:val="18"/>
    </w:rPr>
  </w:style>
  <w:style w:type="character" w:customStyle="1" w:styleId="40">
    <w:name w:val="标题 4 字符"/>
    <w:basedOn w:val="a0"/>
    <w:link w:val="4"/>
    <w:uiPriority w:val="1"/>
    <w:rsid w:val="006B2C08"/>
    <w:rPr>
      <w:rFonts w:ascii="Times New Roman" w:eastAsia="方正黑体_GBK" w:hAnsi="Times New Roman" w:cs="Times New Roman"/>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baike.baidu.com/view/683657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725.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2</cp:revision>
  <dcterms:created xsi:type="dcterms:W3CDTF">2023-09-18T06:55:00Z</dcterms:created>
  <dcterms:modified xsi:type="dcterms:W3CDTF">2023-09-18T06:56:00Z</dcterms:modified>
</cp:coreProperties>
</file>