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01937" w14:textId="77777777" w:rsidR="000612B4" w:rsidRDefault="000612B4" w:rsidP="000612B4">
      <w:pPr>
        <w:spacing w:line="594" w:lineRule="exact"/>
        <w:jc w:val="center"/>
        <w:rPr>
          <w:rFonts w:ascii="Times New Roman" w:eastAsia="宋体" w:hAnsi="Times New Roman"/>
          <w:sz w:val="44"/>
          <w:szCs w:val="32"/>
        </w:rPr>
      </w:pPr>
    </w:p>
    <w:p w14:paraId="2272449D" w14:textId="77777777" w:rsidR="000612B4" w:rsidRPr="000612B4" w:rsidRDefault="000612B4" w:rsidP="000612B4">
      <w:pPr>
        <w:spacing w:line="594" w:lineRule="exact"/>
        <w:jc w:val="center"/>
        <w:rPr>
          <w:rFonts w:ascii="Times New Roman" w:eastAsia="宋体" w:hAnsi="Times New Roman" w:hint="eastAsia"/>
          <w:sz w:val="44"/>
          <w:szCs w:val="32"/>
        </w:rPr>
      </w:pPr>
    </w:p>
    <w:p w14:paraId="50437EFA" w14:textId="77777777" w:rsidR="000612B4" w:rsidRDefault="000612B4" w:rsidP="000612B4">
      <w:pPr>
        <w:spacing w:line="594" w:lineRule="exact"/>
        <w:jc w:val="center"/>
        <w:rPr>
          <w:rFonts w:ascii="Times New Roman" w:eastAsia="宋体" w:hAnsi="Times New Roman"/>
          <w:sz w:val="44"/>
          <w:szCs w:val="32"/>
        </w:rPr>
      </w:pPr>
      <w:r w:rsidRPr="000612B4">
        <w:rPr>
          <w:rFonts w:ascii="Times New Roman" w:eastAsia="宋体" w:hAnsi="Times New Roman" w:hint="eastAsia"/>
          <w:sz w:val="44"/>
          <w:szCs w:val="32"/>
        </w:rPr>
        <w:t>重庆市大综合一体化行政执法条例</w:t>
      </w:r>
    </w:p>
    <w:p w14:paraId="7CCBEE07" w14:textId="77777777" w:rsidR="000612B4" w:rsidRPr="000612B4" w:rsidRDefault="000612B4" w:rsidP="000612B4">
      <w:pPr>
        <w:spacing w:line="594" w:lineRule="exact"/>
        <w:jc w:val="center"/>
        <w:rPr>
          <w:rFonts w:ascii="Times New Roman" w:eastAsia="宋体" w:hAnsi="Times New Roman" w:hint="eastAsia"/>
          <w:sz w:val="44"/>
          <w:szCs w:val="32"/>
        </w:rPr>
      </w:pPr>
    </w:p>
    <w:p w14:paraId="506516A7" w14:textId="77777777" w:rsidR="000612B4" w:rsidRPr="000612B4" w:rsidRDefault="000612B4" w:rsidP="000612B4">
      <w:pPr>
        <w:spacing w:line="594" w:lineRule="exact"/>
        <w:ind w:leftChars="100" w:left="210" w:rightChars="100" w:right="210"/>
        <w:jc w:val="center"/>
        <w:rPr>
          <w:rFonts w:ascii="Times New Roman" w:eastAsia="楷体_GB2312" w:hAnsi="Times New Roman" w:hint="eastAsia"/>
          <w:sz w:val="32"/>
          <w:szCs w:val="32"/>
          <w14:ligatures w14:val="none"/>
        </w:rPr>
      </w:pPr>
      <w:r w:rsidRPr="000612B4">
        <w:rPr>
          <w:rFonts w:ascii="Times New Roman" w:eastAsia="楷体_GB2312" w:hAnsi="Times New Roman" w:hint="eastAsia"/>
          <w:sz w:val="32"/>
          <w:szCs w:val="32"/>
          <w14:ligatures w14:val="none"/>
        </w:rPr>
        <w:t>（</w:t>
      </w:r>
      <w:r w:rsidRPr="000612B4">
        <w:rPr>
          <w:rFonts w:ascii="Times New Roman" w:eastAsia="楷体_GB2312" w:hAnsi="Times New Roman" w:hint="eastAsia"/>
          <w:sz w:val="32"/>
          <w:szCs w:val="32"/>
          <w14:ligatures w14:val="none"/>
        </w:rPr>
        <w:t>2024</w:t>
      </w:r>
      <w:r w:rsidRPr="000612B4">
        <w:rPr>
          <w:rFonts w:ascii="Times New Roman" w:eastAsia="楷体_GB2312" w:hAnsi="Times New Roman" w:hint="eastAsia"/>
          <w:sz w:val="32"/>
          <w:szCs w:val="32"/>
          <w14:ligatures w14:val="none"/>
        </w:rPr>
        <w:t>年</w:t>
      </w:r>
      <w:r w:rsidRPr="000612B4">
        <w:rPr>
          <w:rFonts w:ascii="Times New Roman" w:eastAsia="楷体_GB2312" w:hAnsi="Times New Roman" w:hint="eastAsia"/>
          <w:sz w:val="32"/>
          <w:szCs w:val="32"/>
          <w14:ligatures w14:val="none"/>
        </w:rPr>
        <w:t>11</w:t>
      </w:r>
      <w:r w:rsidRPr="000612B4">
        <w:rPr>
          <w:rFonts w:ascii="Times New Roman" w:eastAsia="楷体_GB2312" w:hAnsi="Times New Roman" w:hint="eastAsia"/>
          <w:sz w:val="32"/>
          <w:szCs w:val="32"/>
          <w14:ligatures w14:val="none"/>
        </w:rPr>
        <w:t>月</w:t>
      </w:r>
      <w:r w:rsidRPr="000612B4">
        <w:rPr>
          <w:rFonts w:ascii="Times New Roman" w:eastAsia="楷体_GB2312" w:hAnsi="Times New Roman" w:hint="eastAsia"/>
          <w:sz w:val="32"/>
          <w:szCs w:val="32"/>
          <w14:ligatures w14:val="none"/>
        </w:rPr>
        <w:t>28</w:t>
      </w:r>
      <w:r w:rsidRPr="000612B4">
        <w:rPr>
          <w:rFonts w:ascii="Times New Roman" w:eastAsia="楷体_GB2312" w:hAnsi="Times New Roman" w:hint="eastAsia"/>
          <w:sz w:val="32"/>
          <w:szCs w:val="32"/>
          <w14:ligatures w14:val="none"/>
        </w:rPr>
        <w:t>日重庆市第六届人民代表大会常务委员会第十二次会议通过）</w:t>
      </w:r>
    </w:p>
    <w:p w14:paraId="05CF4FB2" w14:textId="486B1DDA" w:rsidR="000612B4" w:rsidRPr="000612B4" w:rsidRDefault="000612B4" w:rsidP="000612B4">
      <w:pPr>
        <w:spacing w:line="594" w:lineRule="exact"/>
        <w:ind w:firstLineChars="200" w:firstLine="640"/>
        <w:rPr>
          <w:rFonts w:ascii="Times New Roman" w:eastAsia="黑体" w:hAnsi="Times New Roman" w:hint="eastAsia"/>
          <w:sz w:val="32"/>
          <w:szCs w:val="32"/>
        </w:rPr>
      </w:pPr>
    </w:p>
    <w:p w14:paraId="3FE1C85E" w14:textId="60EEF26B"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黑体" w:hAnsi="Times New Roman" w:hint="eastAsia"/>
          <w:sz w:val="32"/>
          <w:szCs w:val="32"/>
        </w:rPr>
        <w:t>第一</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为了规范和保障大综合一体化行政执法工作，全面推进严格规范公正文明执法，提升行政执法质量和效能，保护公民、法人和其他组织的合法权益，推动建立健全大综合一体化城市综合治理体制机制，根据《中华人民共和国行政处罚法》、《中华人民共和国行政强制法》等法律、行政法规，结合本市实际，制定本条例。</w:t>
      </w:r>
    </w:p>
    <w:p w14:paraId="035B227C" w14:textId="647746CB"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第二</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本市行政区域内推进大综合一体化行政执法及其相关工作，适用本条例。</w:t>
      </w:r>
    </w:p>
    <w:p w14:paraId="621808E3"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本条例所称大综合一体化行政执法，是指通过精简执法队伍、调整执法事项、创新执法监管、强化执法监督、统一执法平台等方式，按照整体政府和数字政府理念构建的行政执法体制机制。</w:t>
      </w:r>
    </w:p>
    <w:p w14:paraId="2B4C6AD6" w14:textId="15990793"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第三</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市、区县（自治县）人民政府统一领导本行政区域的行政执法工作，建立健全行政执法协调监督工作体系，研究解决行政执法重大问题，加强行政执法工作保障。</w:t>
      </w:r>
    </w:p>
    <w:p w14:paraId="22D1933D"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司法行政部门代表本级政府承担行政执法监督具体事务，负</w:t>
      </w:r>
      <w:r w:rsidRPr="000612B4">
        <w:rPr>
          <w:rFonts w:ascii="Times New Roman" w:eastAsia="仿宋_GB2312" w:hAnsi="Times New Roman" w:hint="eastAsia"/>
          <w:sz w:val="32"/>
          <w:szCs w:val="32"/>
        </w:rPr>
        <w:lastRenderedPageBreak/>
        <w:t>责指导监督本行政区域的行政执法工作，统筹协调行政执法体制改革、行政执法争议等工作。</w:t>
      </w:r>
    </w:p>
    <w:p w14:paraId="6CD84779"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行政执法部门负责本行业领域内的行政执法工作，并对具体承担相关行政执法的机构进行指导监督。</w:t>
      </w:r>
    </w:p>
    <w:p w14:paraId="2AB288CE"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机构编制、公务员管理、财政、人力社保、数据等单位和部门，应当按照各自职责做好行政执法有关保障工作。</w:t>
      </w:r>
    </w:p>
    <w:p w14:paraId="41EAD5AB" w14:textId="4931FDF5"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第四</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本市建立综合行政执法制度。市、区县（自治县）人民政府城市管理、市场监管、生态环境、文化旅游、交通运输、应急管理、农业等部门负责相应行业领域内的综合行政执法，并由其综合行政执法机构以所属行政执法部门名义开展行政执法工作。本市其他地方性法规与本款规定不一致的，按照本款规定执行。</w:t>
      </w:r>
    </w:p>
    <w:p w14:paraId="3B02F2AF"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市人民政府可以决定将职能相近、专业性适宜的行政执法事项纳入前款规定的综合行政执法范围。</w:t>
      </w:r>
    </w:p>
    <w:p w14:paraId="557978E9"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乡镇人民政府、街道办事处按照职责负责辖区内的综合行政执法，并由其综合行政执法机构以乡镇人民政府、街道办事处名义开展综合行政执法工作。</w:t>
      </w:r>
    </w:p>
    <w:p w14:paraId="6718353B"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区县（自治县）行政执法部门派驻乡镇人民政府、街道办事处的行政执法人员，由乡镇人民政府、街道办事处统筹使用和管理。</w:t>
      </w:r>
    </w:p>
    <w:p w14:paraId="093B5842" w14:textId="7CA24D9A"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第五</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本市实行以区县（自治县）为主的行政执法体制。</w:t>
      </w:r>
    </w:p>
    <w:p w14:paraId="02983A79"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市级行政执法部门负责制度设计、统筹协调、监督指导，承担重大违法案件查处和跨区域执法的组织协调，以及法律、法规</w:t>
      </w:r>
      <w:r w:rsidRPr="000612B4">
        <w:rPr>
          <w:rFonts w:ascii="Times New Roman" w:eastAsia="仿宋_GB2312" w:hAnsi="Times New Roman" w:hint="eastAsia"/>
          <w:sz w:val="32"/>
          <w:szCs w:val="32"/>
        </w:rPr>
        <w:lastRenderedPageBreak/>
        <w:t>规定由市级实施的行政执法事项。区县（自治县）行政执法部门负责日常行政检查和一般违法案件查处。</w:t>
      </w:r>
    </w:p>
    <w:p w14:paraId="3D180A0C"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法律、法规规定市和区县（自治县）均可以实施的行政执法事项，除确需由市级行政执法部门实施的以外，一般由区县（自治县）行政执法部门实施。</w:t>
      </w:r>
    </w:p>
    <w:p w14:paraId="4A5DB1EA"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乡镇人民政府、街道办事处负责在法律、法规规定和依法承接的行政执法事项范围内，开展行政检查和违法案件查处。</w:t>
      </w:r>
    </w:p>
    <w:p w14:paraId="354F3FDC" w14:textId="703161CB"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第六</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市级行政执法部门应当按照有关规定编制、调整本行业领域内覆盖市、区县（自治县）、乡镇（街道）三级的行政执法事项清单。</w:t>
      </w:r>
    </w:p>
    <w:p w14:paraId="250F1455"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行政执法事项清单应当简明清晰，涉及行政执法事项划转或者下放的，应当经市司法行政部门审核后，报市人民政府批准；涉及将行政执法事项下放由乡镇人民政府、街道办事处实施的，应当充分听取各方面意见，并组织对具体承接能力、专业要求适宜度等进行论证。</w:t>
      </w:r>
    </w:p>
    <w:p w14:paraId="654D0248"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市级行政执法部门、区县（自治县）行政执法部门、乡镇人民政府、街道办事处（以下统称行政执法机关）应当通过政府公报、政府网站等途径公布经审核、批准的行政执法事项清单。</w:t>
      </w:r>
    </w:p>
    <w:p w14:paraId="5B4FBEBE" w14:textId="56DC3CC8"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第七</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市司法行政部门应当审核各行业领域的行政执法事项清单，汇总形成本市行政执法事项总清单，并分类形成综合行政执法事项清单和部门行政执法事项清单。</w:t>
      </w:r>
    </w:p>
    <w:p w14:paraId="6E2AC8DC"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行政执法事项清单编制规范和管理运行办法，由市司法行政</w:t>
      </w:r>
      <w:r w:rsidRPr="000612B4">
        <w:rPr>
          <w:rFonts w:ascii="Times New Roman" w:eastAsia="仿宋_GB2312" w:hAnsi="Times New Roman" w:hint="eastAsia"/>
          <w:sz w:val="32"/>
          <w:szCs w:val="32"/>
        </w:rPr>
        <w:lastRenderedPageBreak/>
        <w:t>部门制定。</w:t>
      </w:r>
    </w:p>
    <w:p w14:paraId="19556EA6" w14:textId="64F4559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第八</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市司法行政部门应当会同市级行政执法部门、区县（自治县）人民政府定期对行政执法事项运行效能开展评估。根据评估结果以及工作实际，需要调整划转或者下放行政执法事项的，按照本条例第六条、第七条的规定执行。</w:t>
      </w:r>
    </w:p>
    <w:p w14:paraId="179B64E9"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行政执法事项运行效能评估可以委托第三方机构实施。</w:t>
      </w:r>
    </w:p>
    <w:p w14:paraId="6F02AEC1" w14:textId="4FA14C19"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第九</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涉及行政执法事项划出或者下放的行政执法部门应当落实行业监管主体责任，负责实施行政审批、行政调解和日常监督管理，并对实施划入或者承接行政执法事项的行政执法机关提供专业技术支持、业务培训指导等方面的支持和保障。</w:t>
      </w:r>
    </w:p>
    <w:p w14:paraId="23F2BCF5"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划入或者承接行政执法事项的行政执法机关负责实施划入或者承接的行政处罚以及相关的行政检查、行政强制等职能职责，并协助行政执法事项划出或者下放的行政执法部门开展行业监管活动。</w:t>
      </w:r>
    </w:p>
    <w:p w14:paraId="0552B14C"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有关行政执法机关应当建立涉及划转或者下放行政执法事项的举报信息认定、违法线索移交、案件移送等工作衔接机制。</w:t>
      </w:r>
    </w:p>
    <w:p w14:paraId="50A0887B" w14:textId="37B89A30"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第十</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行政执法机关应当建立</w:t>
      </w:r>
      <w:proofErr w:type="gramStart"/>
      <w:r w:rsidRPr="000612B4">
        <w:rPr>
          <w:rFonts w:ascii="Times New Roman" w:eastAsia="仿宋_GB2312" w:hAnsi="Times New Roman" w:hint="eastAsia"/>
          <w:sz w:val="32"/>
          <w:szCs w:val="32"/>
        </w:rPr>
        <w:t>健全跨</w:t>
      </w:r>
      <w:proofErr w:type="gramEnd"/>
      <w:r w:rsidRPr="000612B4">
        <w:rPr>
          <w:rFonts w:ascii="Times New Roman" w:eastAsia="仿宋_GB2312" w:hAnsi="Times New Roman" w:hint="eastAsia"/>
          <w:sz w:val="32"/>
          <w:szCs w:val="32"/>
        </w:rPr>
        <w:t>部门、跨区域、跨层级的行政执法协同工作机制，完善联合监管、联合执法、执法协助等工作，共享监督管理、行政处罚、专项整治等信息，推进违法线索、证据材料、执法标准、处理结果的互通、互认。</w:t>
      </w:r>
    </w:p>
    <w:p w14:paraId="66B49E6D"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行政执法机关在执法过程中依法获取的证据材料，其他行政执法机关经查证属实，认为符合证据效力要求的，可以作为行政</w:t>
      </w:r>
      <w:r w:rsidRPr="000612B4">
        <w:rPr>
          <w:rFonts w:ascii="Times New Roman" w:eastAsia="仿宋_GB2312" w:hAnsi="Times New Roman" w:hint="eastAsia"/>
          <w:sz w:val="32"/>
          <w:szCs w:val="32"/>
        </w:rPr>
        <w:lastRenderedPageBreak/>
        <w:t>执法证据使用。</w:t>
      </w:r>
    </w:p>
    <w:p w14:paraId="28D153BB" w14:textId="5AE39B9E"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第十一</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实施专业性、技术性较强或者复杂、疑难行政执法事项时，有关行政执法机关可以向其他行政执法机关提出执法协作请求，其他行政执法机关应当予以支持。</w:t>
      </w:r>
    </w:p>
    <w:p w14:paraId="0BBC22C1"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划入或者承接行政执法事项的行政执法机关实施划入或者承接的行政执法事项时，需要有关行政执法部门依照法定职权出具专业性意见、到场提供指导协助，或者需要具有相应资质的专业机构进行检测、检验、检疫、鉴定的，有关行政执法部门或者专业机构应当依法及时予以支持和协助。</w:t>
      </w:r>
    </w:p>
    <w:p w14:paraId="21EC04AD" w14:textId="72208A72"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第十二</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行政执法机关应当畅通投诉举报渠道，健全投诉举报处理机制，对收到的投诉举报事项，应当按照首问负责制予以登记，依法及时处理或者移送。</w:t>
      </w:r>
    </w:p>
    <w:p w14:paraId="13B6C836"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涉及行政执法事项划转或者下放的，对涉嫌违法依法需要调查处理的，由划入或者承接行政执法事项的行政执法机关负责处理；对涉及日常监督管理的，由划出或者下放行政执法事项的行政执法部门负责处理。</w:t>
      </w:r>
    </w:p>
    <w:p w14:paraId="2E2A1787" w14:textId="016553C2"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黑体" w:hAnsi="Times New Roman" w:hint="eastAsia"/>
          <w:sz w:val="32"/>
          <w:szCs w:val="32"/>
        </w:rPr>
        <w:t>第十三</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行政执法机关之间存在行政执法争议的，应当协商解决；不能协商解决的，由司法行政部门协调处理，协调不成的，报同级人民政府决定。</w:t>
      </w:r>
    </w:p>
    <w:p w14:paraId="5757E39F" w14:textId="7D38236D"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第十四</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本市建立行政检查年度计划管理制度。对市场主体开展行政检查，除按照国家和本市统一部署要求开展的专项整治以外，行政执法机关应当编制年度检查计划，向社会公开并纳</w:t>
      </w:r>
      <w:r w:rsidRPr="000612B4">
        <w:rPr>
          <w:rFonts w:ascii="Times New Roman" w:eastAsia="仿宋_GB2312" w:hAnsi="Times New Roman" w:hint="eastAsia"/>
          <w:sz w:val="32"/>
          <w:szCs w:val="32"/>
        </w:rPr>
        <w:lastRenderedPageBreak/>
        <w:t>入全市统一的行政执法以及执法监督数字应用管理。年度检查计划应当明确检查时间、检查事项、检查比例和频次等。</w:t>
      </w:r>
    </w:p>
    <w:p w14:paraId="3E4F6783"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同一行政执法机关对同一市场主体实施多项行政检查的，或者不同行政执法机关对同一市场主体实施行政检查的，按照国家和本市有关规定同时一次性开展。</w:t>
      </w:r>
    </w:p>
    <w:p w14:paraId="2C441EFF"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行政检查组织实施和监督管理的具体办法，由市人民政府制定。</w:t>
      </w:r>
    </w:p>
    <w:p w14:paraId="7D6B8679" w14:textId="3009CE5C"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第十五</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市级行政执法部门应当落实行业监管主体责任，制定并公开行业监管规则和监管标准，重点明确行业监管的对象、内容、方法、频次等要求，增强行业监管的稳定性、可预期性。</w:t>
      </w:r>
    </w:p>
    <w:p w14:paraId="69E54559"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市司法行政部门可以会同市级行政执法部门对行业监管规则和监管标准开展评估论证；发现不同市级行政执法部门制定的行业监管规则和监管标准相互冲突的，应当及时督促修改完善。</w:t>
      </w:r>
    </w:p>
    <w:p w14:paraId="3B37E052"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鼓励跨区域、跨部门联合发布统一的监管规则和监管标准。</w:t>
      </w:r>
    </w:p>
    <w:p w14:paraId="0C223B66" w14:textId="0C57ACB1"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黑体" w:hAnsi="Times New Roman" w:hint="eastAsia"/>
          <w:sz w:val="32"/>
          <w:szCs w:val="32"/>
        </w:rPr>
        <w:t>第十六</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多个行政执法机关对同类市场主体实施监管的，可以创新执法方式，对执法事项、监管规则等进行综合集成，提高执法效能。</w:t>
      </w:r>
    </w:p>
    <w:p w14:paraId="6DE96927" w14:textId="098FFD84"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黑体" w:hAnsi="Times New Roman" w:hint="eastAsia"/>
          <w:sz w:val="32"/>
          <w:szCs w:val="32"/>
        </w:rPr>
        <w:t>第十七</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本市建立全市统一的行政执法以及执法监督数字应用，实现行政执法事项、行政执法主体、行政执法人员、行政执法</w:t>
      </w:r>
      <w:proofErr w:type="gramStart"/>
      <w:r w:rsidRPr="000612B4">
        <w:rPr>
          <w:rFonts w:ascii="Times New Roman" w:eastAsia="仿宋_GB2312" w:hAnsi="Times New Roman" w:hint="eastAsia"/>
          <w:sz w:val="32"/>
          <w:szCs w:val="32"/>
        </w:rPr>
        <w:t>活动线</w:t>
      </w:r>
      <w:proofErr w:type="gramEnd"/>
      <w:r w:rsidRPr="000612B4">
        <w:rPr>
          <w:rFonts w:ascii="Times New Roman" w:eastAsia="仿宋_GB2312" w:hAnsi="Times New Roman" w:hint="eastAsia"/>
          <w:sz w:val="32"/>
          <w:szCs w:val="32"/>
        </w:rPr>
        <w:t>上管理，行政执法行为和效能实时监督评议，并融入三级数字化城市运行和治理中心。</w:t>
      </w:r>
    </w:p>
    <w:p w14:paraId="305C3366" w14:textId="58F6093C"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第十八</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市司法行政部门负责建设、管理全市统一的行政</w:t>
      </w:r>
      <w:r w:rsidRPr="000612B4">
        <w:rPr>
          <w:rFonts w:ascii="Times New Roman" w:eastAsia="仿宋_GB2312" w:hAnsi="Times New Roman" w:hint="eastAsia"/>
          <w:sz w:val="32"/>
          <w:szCs w:val="32"/>
        </w:rPr>
        <w:lastRenderedPageBreak/>
        <w:t>执法以及执法监督数字应用，建立全市统一的行政执法事项、行政执法主体、行政执法人员等基础数据库，加强对行政执法数字化工作的统筹规范，推动开展数字化执法，</w:t>
      </w:r>
      <w:proofErr w:type="gramStart"/>
      <w:r w:rsidRPr="000612B4">
        <w:rPr>
          <w:rFonts w:ascii="Times New Roman" w:eastAsia="仿宋_GB2312" w:hAnsi="Times New Roman" w:hint="eastAsia"/>
          <w:sz w:val="32"/>
          <w:szCs w:val="32"/>
        </w:rPr>
        <w:t>促进线</w:t>
      </w:r>
      <w:proofErr w:type="gramEnd"/>
      <w:r w:rsidRPr="000612B4">
        <w:rPr>
          <w:rFonts w:ascii="Times New Roman" w:eastAsia="仿宋_GB2312" w:hAnsi="Times New Roman" w:hint="eastAsia"/>
          <w:sz w:val="32"/>
          <w:szCs w:val="32"/>
        </w:rPr>
        <w:t>上线下融合。</w:t>
      </w:r>
    </w:p>
    <w:p w14:paraId="368D3E3D"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行政执法以及执法监督数字应用的管理办法，由市司法行政部门会同市数据主管部门制定。</w:t>
      </w:r>
    </w:p>
    <w:p w14:paraId="10F441FF" w14:textId="655A64AD"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第十九</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行政执法机关应当通过全市统一的行政执法以及执法监督数字应用开展行政执法和行政执法监督工作。国家另有规定的，依照其规定执行。</w:t>
      </w:r>
    </w:p>
    <w:p w14:paraId="31043332"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行政执法机关开展行政执法和执法监督工作应当运用基础数据库数据，不得新建其他行政执法类基础数据库；已经建成的，应当按照有关规定进行整合。</w:t>
      </w:r>
    </w:p>
    <w:p w14:paraId="17EFEC7F"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行政执法机关应当通过规范</w:t>
      </w:r>
      <w:proofErr w:type="gramStart"/>
      <w:r w:rsidRPr="000612B4">
        <w:rPr>
          <w:rFonts w:ascii="Times New Roman" w:eastAsia="仿宋_GB2312" w:hAnsi="Times New Roman" w:hint="eastAsia"/>
          <w:sz w:val="32"/>
          <w:szCs w:val="32"/>
        </w:rPr>
        <w:t>推广非</w:t>
      </w:r>
      <w:proofErr w:type="gramEnd"/>
      <w:r w:rsidRPr="000612B4">
        <w:rPr>
          <w:rFonts w:ascii="Times New Roman" w:eastAsia="仿宋_GB2312" w:hAnsi="Times New Roman" w:hint="eastAsia"/>
          <w:sz w:val="32"/>
          <w:szCs w:val="32"/>
        </w:rPr>
        <w:t>现场执法、掌上执法、移动执法等方式，提高证据采集核查、执法文书送达、信息提示、申辩告知、听证等执法业务的数字化水平。</w:t>
      </w:r>
    </w:p>
    <w:p w14:paraId="2EDB133F" w14:textId="2A3BEC42"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第二十</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行政执法人员应当依法取得行政执法资格，并参加执法培训。行政执法人员从事行政执法活动时，应当主动出示有效的执法证件。</w:t>
      </w:r>
    </w:p>
    <w:p w14:paraId="756BDC8F"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司法行政部门和行政执法机关按照职责分工和规范要求，分类分级开展培训和培训督导。司法行政部门应当建立行政执法人员培训规范化体系，加强公共法律知识培训。行政执法机关应当加强行政执法业务知识和行政执法技能培训。</w:t>
      </w:r>
    </w:p>
    <w:p w14:paraId="07AB9706"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探索建立本市范围内同一行业领域行政执法人员资格在市级</w:t>
      </w:r>
      <w:r w:rsidRPr="000612B4">
        <w:rPr>
          <w:rFonts w:ascii="Times New Roman" w:eastAsia="仿宋_GB2312" w:hAnsi="Times New Roman" w:hint="eastAsia"/>
          <w:sz w:val="32"/>
          <w:szCs w:val="32"/>
        </w:rPr>
        <w:lastRenderedPageBreak/>
        <w:t>重大执法活动、跨区域执法以及交叉执法中的互通互认机制。</w:t>
      </w:r>
    </w:p>
    <w:p w14:paraId="4FDECFC4" w14:textId="4CD657D2"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第二十一</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行政执法机关可以根据执法工作需要，按照规定权限和程序合理配备行政执法辅助人员。行政执法辅助人员经培训合格后可以辅助开展宣传教育、日常巡查、信息采集、违法行为劝阻、文书送达等工作。工作中发现违法行为线索的，应当由行政执法人员依法调查处理。</w:t>
      </w:r>
    </w:p>
    <w:p w14:paraId="62B01E66"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行政执法机关应当加强对行政执法辅助人员招聘、培训、考核、奖惩、退出的监督管理，依法保障其工资福利、社会保险等待遇。</w:t>
      </w:r>
    </w:p>
    <w:p w14:paraId="0B13EEFD" w14:textId="0BD6C5E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黑体" w:hAnsi="Times New Roman" w:hint="eastAsia"/>
          <w:sz w:val="32"/>
          <w:szCs w:val="32"/>
        </w:rPr>
        <w:t>第二十二</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市、区县（自治县）人民政府应当加大行政执法投入，推进非现场执法、移动执法等相关执法基础设施的统筹建设和共享使用，按照规定保障行政执法工作经费、办公用房、执法装备，保障行政执法人员有关权益。</w:t>
      </w:r>
    </w:p>
    <w:p w14:paraId="7C9B5DF3" w14:textId="57DCC8EE"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第二十三</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行政执法机关应当向社会公开其职责范围、执法依据、执法程序、投诉举报渠道等事项，加强与企业、行业协会商会、新闻媒体和社会公众的交流互动，接受社会监督。</w:t>
      </w:r>
    </w:p>
    <w:p w14:paraId="3F345ED7"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任何组织和个人发现违法线索或者对行政执法行为存在异议的，可以通过电话、信函、电子邮件等渠道进行投诉举报。</w:t>
      </w:r>
    </w:p>
    <w:p w14:paraId="1780063E" w14:textId="660EB816"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第二十四</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司法行政部门应当加强对行政执法活动的指导监督，发挥行政执法协调监督对行政执法工作的统筹协调、规范管理、指导监督、激励保障作用。</w:t>
      </w:r>
    </w:p>
    <w:p w14:paraId="29F5738D"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行政执法部门应当建立完善内部监督机制，加强对本行业领</w:t>
      </w:r>
      <w:r w:rsidRPr="000612B4">
        <w:rPr>
          <w:rFonts w:ascii="Times New Roman" w:eastAsia="仿宋_GB2312" w:hAnsi="Times New Roman" w:hint="eastAsia"/>
          <w:sz w:val="32"/>
          <w:szCs w:val="32"/>
        </w:rPr>
        <w:lastRenderedPageBreak/>
        <w:t>域内行政执法工作的指导监督。已经纳入综合行政执法事项范围的行政执法工作，由划出或者下放行政执法事项的行政执法部门负责业务指导监督。</w:t>
      </w:r>
    </w:p>
    <w:p w14:paraId="7231608E" w14:textId="777777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仿宋_GB2312" w:hAnsi="Times New Roman" w:hint="eastAsia"/>
          <w:sz w:val="32"/>
          <w:szCs w:val="32"/>
        </w:rPr>
        <w:t>区县（自治县）行政执法部门负责乡镇（街道）综合行政执法涉及本行业领域行政执法事项的业务指导监督，配合乡镇人民政府、街道办事处开展派驻行政执法人员的考核评议和队伍建设等工作。</w:t>
      </w:r>
    </w:p>
    <w:p w14:paraId="4A517C2E"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行政执法监督应当与法治督察、政府督查、行政复议、行政诉讼、检察监督等建立协作配合机制。</w:t>
      </w:r>
    </w:p>
    <w:p w14:paraId="675B85A2" w14:textId="2166B295"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第二十五</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市、区县（自治县）人民政府应当将行政执法工作纳入法治建设考核，加强考核结果的运用。</w:t>
      </w:r>
    </w:p>
    <w:p w14:paraId="6F3C5047"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司法行政部门应当建立行政执法效能数字化评估指数体系，加强对行政执法涉</w:t>
      </w:r>
      <w:proofErr w:type="gramStart"/>
      <w:r w:rsidRPr="000612B4">
        <w:rPr>
          <w:rFonts w:ascii="Times New Roman" w:eastAsia="仿宋_GB2312" w:hAnsi="Times New Roman" w:hint="eastAsia"/>
          <w:sz w:val="32"/>
          <w:szCs w:val="32"/>
        </w:rPr>
        <w:t>企经济</w:t>
      </w:r>
      <w:proofErr w:type="gramEnd"/>
      <w:r w:rsidRPr="000612B4">
        <w:rPr>
          <w:rFonts w:ascii="Times New Roman" w:eastAsia="仿宋_GB2312" w:hAnsi="Times New Roman" w:hint="eastAsia"/>
          <w:sz w:val="32"/>
          <w:szCs w:val="32"/>
        </w:rPr>
        <w:t>影响、社会满意度等方面的评估，为提升行政执法质效和优化执法资源配置提供重要依据。</w:t>
      </w:r>
    </w:p>
    <w:p w14:paraId="0140DC94" w14:textId="044C4977" w:rsidR="000612B4"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第二十六</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行政执法机关不依法履行行政执法相关法定职责或者协作义务的，其他有关行政执法机关可以向其提出书面建议，或者提请有权机关依法予以纠正。</w:t>
      </w:r>
    </w:p>
    <w:p w14:paraId="273E4CAA" w14:textId="77777777" w:rsidR="000612B4" w:rsidRPr="000612B4" w:rsidRDefault="000612B4" w:rsidP="000612B4">
      <w:pPr>
        <w:spacing w:line="594" w:lineRule="exact"/>
        <w:ind w:firstLineChars="200" w:firstLine="640"/>
        <w:rPr>
          <w:rFonts w:ascii="Times New Roman" w:eastAsia="黑体" w:hAnsi="Times New Roman" w:hint="eastAsia"/>
          <w:sz w:val="32"/>
          <w:szCs w:val="32"/>
        </w:rPr>
      </w:pPr>
      <w:r w:rsidRPr="000612B4">
        <w:rPr>
          <w:rFonts w:ascii="Times New Roman" w:eastAsia="仿宋_GB2312" w:hAnsi="Times New Roman" w:hint="eastAsia"/>
          <w:sz w:val="32"/>
          <w:szCs w:val="32"/>
        </w:rPr>
        <w:t>行政执法部门违反本条例规定的，由本级人民政府予以通报；乡镇人民政府、街道办事处违反本条例规定，由区县（自治县）人民政府予以通报；造成严重后果的，由有权机关依法追究责任。</w:t>
      </w:r>
    </w:p>
    <w:p w14:paraId="4FD6146A" w14:textId="26CF23B4" w:rsidR="001366FC" w:rsidRPr="000612B4" w:rsidRDefault="000612B4" w:rsidP="000612B4">
      <w:pPr>
        <w:spacing w:line="594" w:lineRule="exact"/>
        <w:ind w:firstLineChars="200" w:firstLine="640"/>
        <w:rPr>
          <w:rFonts w:ascii="Times New Roman" w:eastAsia="仿宋_GB2312" w:hAnsi="Times New Roman" w:hint="eastAsia"/>
          <w:sz w:val="32"/>
          <w:szCs w:val="32"/>
        </w:rPr>
      </w:pPr>
      <w:r w:rsidRPr="000612B4">
        <w:rPr>
          <w:rFonts w:ascii="Times New Roman" w:eastAsia="黑体" w:hAnsi="Times New Roman" w:hint="eastAsia"/>
          <w:sz w:val="32"/>
          <w:szCs w:val="32"/>
        </w:rPr>
        <w:t>第二十七</w:t>
      </w:r>
      <w:r w:rsidRPr="000612B4">
        <w:rPr>
          <w:rFonts w:ascii="Times New Roman" w:eastAsia="黑体" w:hAnsi="Times New Roman" w:hint="eastAsia"/>
          <w:sz w:val="32"/>
          <w:szCs w:val="32"/>
        </w:rPr>
        <w:t>条</w:t>
      </w:r>
      <w:r w:rsidRPr="000612B4">
        <w:rPr>
          <w:rFonts w:ascii="Times New Roman" w:eastAsia="黑体" w:hAnsi="Times New Roman" w:hint="eastAsia"/>
          <w:sz w:val="32"/>
          <w:szCs w:val="32"/>
        </w:rPr>
        <w:t xml:space="preserve">  </w:t>
      </w:r>
      <w:r w:rsidRPr="000612B4">
        <w:rPr>
          <w:rFonts w:ascii="Times New Roman" w:eastAsia="仿宋_GB2312" w:hAnsi="Times New Roman" w:hint="eastAsia"/>
          <w:sz w:val="32"/>
          <w:szCs w:val="32"/>
        </w:rPr>
        <w:t>本条例自</w:t>
      </w:r>
      <w:r w:rsidRPr="000612B4">
        <w:rPr>
          <w:rFonts w:ascii="Times New Roman" w:eastAsia="仿宋_GB2312" w:hAnsi="Times New Roman" w:hint="eastAsia"/>
          <w:sz w:val="32"/>
          <w:szCs w:val="32"/>
        </w:rPr>
        <w:t>2024</w:t>
      </w:r>
      <w:r w:rsidRPr="000612B4">
        <w:rPr>
          <w:rFonts w:ascii="Times New Roman" w:eastAsia="仿宋_GB2312" w:hAnsi="Times New Roman" w:hint="eastAsia"/>
          <w:sz w:val="32"/>
          <w:szCs w:val="32"/>
        </w:rPr>
        <w:t>年</w:t>
      </w:r>
      <w:r w:rsidRPr="000612B4">
        <w:rPr>
          <w:rFonts w:ascii="Times New Roman" w:eastAsia="仿宋_GB2312" w:hAnsi="Times New Roman" w:hint="eastAsia"/>
          <w:sz w:val="32"/>
          <w:szCs w:val="32"/>
        </w:rPr>
        <w:t>12</w:t>
      </w:r>
      <w:r w:rsidRPr="000612B4">
        <w:rPr>
          <w:rFonts w:ascii="Times New Roman" w:eastAsia="仿宋_GB2312" w:hAnsi="Times New Roman" w:hint="eastAsia"/>
          <w:sz w:val="32"/>
          <w:szCs w:val="32"/>
        </w:rPr>
        <w:t>月</w:t>
      </w:r>
      <w:r w:rsidRPr="000612B4">
        <w:rPr>
          <w:rFonts w:ascii="Times New Roman" w:eastAsia="仿宋_GB2312" w:hAnsi="Times New Roman" w:hint="eastAsia"/>
          <w:sz w:val="32"/>
          <w:szCs w:val="32"/>
        </w:rPr>
        <w:t>15</w:t>
      </w:r>
      <w:r w:rsidRPr="000612B4">
        <w:rPr>
          <w:rFonts w:ascii="Times New Roman" w:eastAsia="仿宋_GB2312" w:hAnsi="Times New Roman" w:hint="eastAsia"/>
          <w:sz w:val="32"/>
          <w:szCs w:val="32"/>
        </w:rPr>
        <w:t>日起施行。</w:t>
      </w:r>
    </w:p>
    <w:sectPr w:rsidR="001366FC" w:rsidRPr="000612B4" w:rsidSect="000612B4">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2044" w14:textId="77777777" w:rsidR="006535DF" w:rsidRDefault="006535DF" w:rsidP="000612B4">
      <w:pPr>
        <w:rPr>
          <w:rFonts w:hint="eastAsia"/>
        </w:rPr>
      </w:pPr>
      <w:r>
        <w:separator/>
      </w:r>
    </w:p>
  </w:endnote>
  <w:endnote w:type="continuationSeparator" w:id="0">
    <w:p w14:paraId="584945DB" w14:textId="77777777" w:rsidR="006535DF" w:rsidRDefault="006535DF" w:rsidP="000612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D97F6" w14:textId="1B59F820" w:rsidR="000612B4" w:rsidRPr="000612B4" w:rsidRDefault="000612B4" w:rsidP="000612B4">
    <w:pPr>
      <w:pStyle w:val="a5"/>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E90CF" w14:textId="4D44E9E3" w:rsidR="000612B4" w:rsidRPr="000612B4" w:rsidRDefault="000612B4" w:rsidP="000612B4">
    <w:pPr>
      <w:pStyle w:val="a5"/>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81972" w14:textId="77777777" w:rsidR="006535DF" w:rsidRDefault="006535DF" w:rsidP="000612B4">
      <w:pPr>
        <w:rPr>
          <w:rFonts w:hint="eastAsia"/>
        </w:rPr>
      </w:pPr>
      <w:r>
        <w:separator/>
      </w:r>
    </w:p>
  </w:footnote>
  <w:footnote w:type="continuationSeparator" w:id="0">
    <w:p w14:paraId="4527EB8C" w14:textId="77777777" w:rsidR="006535DF" w:rsidRDefault="006535DF" w:rsidP="000612B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73"/>
    <w:rsid w:val="000612B4"/>
    <w:rsid w:val="00077DDF"/>
    <w:rsid w:val="001366FC"/>
    <w:rsid w:val="001E0C02"/>
    <w:rsid w:val="00506BB2"/>
    <w:rsid w:val="00536401"/>
    <w:rsid w:val="006535DF"/>
    <w:rsid w:val="008B0F8A"/>
    <w:rsid w:val="00D95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1E8A"/>
  <w15:chartTrackingRefBased/>
  <w15:docId w15:val="{1CE1C896-9101-4A57-A316-CD24E53E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2B4"/>
    <w:pPr>
      <w:tabs>
        <w:tab w:val="center" w:pos="4153"/>
        <w:tab w:val="right" w:pos="8306"/>
      </w:tabs>
      <w:snapToGrid w:val="0"/>
      <w:jc w:val="center"/>
    </w:pPr>
    <w:rPr>
      <w:sz w:val="18"/>
      <w:szCs w:val="18"/>
    </w:rPr>
  </w:style>
  <w:style w:type="character" w:customStyle="1" w:styleId="a4">
    <w:name w:val="页眉 字符"/>
    <w:basedOn w:val="a0"/>
    <w:link w:val="a3"/>
    <w:uiPriority w:val="99"/>
    <w:rsid w:val="000612B4"/>
    <w:rPr>
      <w:sz w:val="18"/>
      <w:szCs w:val="18"/>
    </w:rPr>
  </w:style>
  <w:style w:type="paragraph" w:styleId="a5">
    <w:name w:val="footer"/>
    <w:basedOn w:val="a"/>
    <w:link w:val="a6"/>
    <w:uiPriority w:val="99"/>
    <w:unhideWhenUsed/>
    <w:rsid w:val="000612B4"/>
    <w:pPr>
      <w:tabs>
        <w:tab w:val="center" w:pos="4153"/>
        <w:tab w:val="right" w:pos="8306"/>
      </w:tabs>
      <w:snapToGrid w:val="0"/>
      <w:jc w:val="left"/>
    </w:pPr>
    <w:rPr>
      <w:sz w:val="18"/>
      <w:szCs w:val="18"/>
    </w:rPr>
  </w:style>
  <w:style w:type="character" w:customStyle="1" w:styleId="a6">
    <w:name w:val="页脚 字符"/>
    <w:basedOn w:val="a0"/>
    <w:link w:val="a5"/>
    <w:uiPriority w:val="99"/>
    <w:rsid w:val="000612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2</cp:revision>
  <dcterms:created xsi:type="dcterms:W3CDTF">2024-11-29T03:55:00Z</dcterms:created>
  <dcterms:modified xsi:type="dcterms:W3CDTF">2024-11-29T03:59:00Z</dcterms:modified>
</cp:coreProperties>
</file>